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1DB02"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6FDB819">
      <w:pPr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ACF7282">
      <w:pPr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《闽侯县南通镇350121-NT1-A-03、</w:t>
      </w:r>
    </w:p>
    <w:p w14:paraId="7B83DD7C">
      <w:pPr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F-07及周边地块控制性详细规划》规划简介</w:t>
      </w:r>
    </w:p>
    <w:p w14:paraId="333B463B">
      <w:pPr>
        <w:spacing w:line="500" w:lineRule="exact"/>
        <w:ind w:firstLine="880" w:firstLineChars="200"/>
        <w:rPr>
          <w:rFonts w:hint="eastAsia" w:ascii="仿宋" w:hAnsi="仿宋" w:eastAsia="仿宋"/>
          <w:sz w:val="44"/>
          <w:szCs w:val="44"/>
        </w:rPr>
      </w:pPr>
    </w:p>
    <w:p w14:paraId="4037AFCC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仿宋_GB2312"/>
          <w:sz w:val="32"/>
          <w:szCs w:val="36"/>
        </w:rPr>
      </w:pPr>
      <w:r>
        <w:rPr>
          <w:rFonts w:hint="eastAsia" w:ascii="黑体" w:hAnsi="黑体" w:eastAsia="黑体" w:cs="仿宋_GB2312"/>
          <w:sz w:val="32"/>
          <w:szCs w:val="36"/>
          <w:lang w:eastAsia="zh-CN"/>
        </w:rPr>
        <w:t>一、</w:t>
      </w:r>
      <w:r>
        <w:rPr>
          <w:rFonts w:hint="eastAsia" w:ascii="黑体" w:hAnsi="黑体" w:eastAsia="黑体" w:cs="仿宋_GB2312"/>
          <w:sz w:val="32"/>
          <w:szCs w:val="36"/>
        </w:rPr>
        <w:t>区位与规划范围</w:t>
      </w:r>
    </w:p>
    <w:p w14:paraId="5961B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本规划地块北、西至新南港大道，南至绕城高速，东至新岐路，总用地面积约72.10公顷。</w:t>
      </w:r>
    </w:p>
    <w:p w14:paraId="618E523F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仿宋_GB2312"/>
          <w:sz w:val="32"/>
          <w:szCs w:val="36"/>
        </w:rPr>
      </w:pPr>
      <w:r>
        <w:rPr>
          <w:rFonts w:hint="eastAsia" w:ascii="黑体" w:hAnsi="黑体" w:eastAsia="黑体" w:cs="仿宋_GB2312"/>
          <w:sz w:val="32"/>
          <w:szCs w:val="36"/>
          <w:lang w:eastAsia="zh-CN"/>
        </w:rPr>
        <w:t>二、</w:t>
      </w:r>
      <w:r>
        <w:rPr>
          <w:rFonts w:hint="eastAsia" w:ascii="黑体" w:hAnsi="黑体" w:eastAsia="黑体" w:cs="仿宋_GB2312"/>
          <w:sz w:val="32"/>
          <w:szCs w:val="36"/>
        </w:rPr>
        <w:t>与相关规划衔接情况</w:t>
      </w:r>
    </w:p>
    <w:p w14:paraId="469E30CA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根据《福州市国土空间总体规划（2021-2035年）》划定的三区三线成果，规划地块已纳入城镇开发边界内，不涉及永久基本农田和生态保护红线；对接《闽侯县国土空间总体规划（2021-2035年）》，地块功能符合与上位规划吻合。</w:t>
      </w:r>
    </w:p>
    <w:p w14:paraId="4B68935D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仿宋_GB2312"/>
          <w:sz w:val="32"/>
          <w:szCs w:val="36"/>
        </w:rPr>
      </w:pPr>
      <w:r>
        <w:rPr>
          <w:rFonts w:hint="eastAsia" w:ascii="黑体" w:hAnsi="黑体" w:eastAsia="黑体" w:cs="仿宋_GB2312"/>
          <w:sz w:val="32"/>
          <w:szCs w:val="36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6"/>
        </w:rPr>
        <w:t>地块控规情况</w:t>
      </w:r>
    </w:p>
    <w:p w14:paraId="6B1F7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本次南通镇350121-NT1-A-03、F-07及周边地块主要控制指标如下：</w:t>
      </w:r>
    </w:p>
    <w:p w14:paraId="04134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NT1-A-01地块的用地性质为公园绿地,规划面积为1.63公顷；</w:t>
      </w:r>
    </w:p>
    <w:p w14:paraId="4731F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NT1-A-02地块的用地性质为防护绿地，规划面积0.84公顷；</w:t>
      </w:r>
    </w:p>
    <w:p w14:paraId="04F31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NT1-A-03地块的用地性质为商业用地，规划面积23.83公顷；</w:t>
      </w:r>
    </w:p>
    <w:p w14:paraId="739A6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NT1-A-04地块的用地性质为防护绿地，规划面积1.11公顷；</w:t>
      </w:r>
    </w:p>
    <w:p w14:paraId="56BD6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NT1-A-05地块的用地性质为防护绿地，规划面积0.71公顷；</w:t>
      </w:r>
    </w:p>
    <w:p w14:paraId="75203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NT1-A-06地块的用地性质为公园绿地，规划面积2.25公顷；</w:t>
      </w:r>
    </w:p>
    <w:p w14:paraId="356F8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NT1-A-07地块的用地性质为公园绿地，规划面积0.02公顷；</w:t>
      </w:r>
    </w:p>
    <w:p w14:paraId="7D6A8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NT1-A-08地块的用地性质为公园绿地，规划面积0.21公顷；</w:t>
      </w:r>
    </w:p>
    <w:p w14:paraId="62C53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NT1-A-14地块的用地性质为公园绿地，规划面积0.22公顷；</w:t>
      </w:r>
    </w:p>
    <w:p w14:paraId="6AC2E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NT1-A-17地块的用地性质为公园绿地，规划面积0.30公顷；</w:t>
      </w:r>
    </w:p>
    <w:p w14:paraId="78131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NT1-F-01地块的用地性质为公园绿地，规划面积0.60公顷；</w:t>
      </w:r>
    </w:p>
    <w:p w14:paraId="2CF6D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NT1-F-02地块的用地性质为公园绿地，规划面积0.59公顷；</w:t>
      </w:r>
    </w:p>
    <w:p w14:paraId="03A82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NT1-F-03地块的用地性质为水工设施用地，规划面积0.89公顷；</w:t>
      </w:r>
    </w:p>
    <w:p w14:paraId="11124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NT1-F-04地块的用地性质为防护绿地，规划面积1.60公顷；</w:t>
      </w:r>
    </w:p>
    <w:p w14:paraId="4A9DF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NT1-F-05地块的用地性质为公园绿地，规划面积1.32公顷；</w:t>
      </w:r>
    </w:p>
    <w:p w14:paraId="01375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NT1-F-06地块的用地性质为二类城镇住宅用地，规划面积17.81公顷；</w:t>
      </w:r>
    </w:p>
    <w:p w14:paraId="220AB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NT1-F-07地块的用地性质为防护绿地，规划面积0.30公顷；</w:t>
      </w:r>
    </w:p>
    <w:p w14:paraId="2F0DC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NT1-F-08地块的用地性质为商业用地，规划面积4.23公顷。</w:t>
      </w:r>
    </w:p>
    <w:p w14:paraId="550461F1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仿宋_GB2312"/>
          <w:sz w:val="32"/>
          <w:szCs w:val="36"/>
        </w:rPr>
      </w:pPr>
      <w:r>
        <w:rPr>
          <w:rFonts w:hint="eastAsia" w:ascii="黑体" w:hAnsi="黑体" w:eastAsia="黑体" w:cs="仿宋_GB2312"/>
          <w:sz w:val="32"/>
          <w:szCs w:val="36"/>
          <w:lang w:eastAsia="zh-CN"/>
        </w:rPr>
        <w:t>四、</w:t>
      </w:r>
      <w:r>
        <w:rPr>
          <w:rFonts w:hint="eastAsia" w:ascii="黑体" w:hAnsi="黑体" w:eastAsia="黑体" w:cs="仿宋_GB2312"/>
          <w:sz w:val="32"/>
          <w:szCs w:val="36"/>
        </w:rPr>
        <w:t>道路交通</w:t>
      </w:r>
    </w:p>
    <w:p w14:paraId="78966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片区交通均为现状道路，包括主干路、支路：主干路旗山大桥连接线，红线宽度24.5米，双向六车道。支路新南港大道、陈厝路、新岐路，红线宽度24米，双向四车道。</w:t>
      </w:r>
    </w:p>
    <w:p w14:paraId="75488A51">
      <w:pPr>
        <w:pStyle w:val="2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仿宋_GB2312"/>
          <w:sz w:val="32"/>
          <w:szCs w:val="36"/>
        </w:rPr>
      </w:pPr>
      <w:r>
        <w:rPr>
          <w:rFonts w:hint="eastAsia" w:ascii="黑体" w:hAnsi="黑体" w:eastAsia="黑体" w:cs="仿宋_GB2312"/>
          <w:sz w:val="32"/>
          <w:szCs w:val="36"/>
        </w:rPr>
        <w:t>公示图纸</w:t>
      </w:r>
    </w:p>
    <w:p w14:paraId="6AED2A0B">
      <w:pPr>
        <w:pStyle w:val="24"/>
        <w:numPr>
          <w:ilvl w:val="0"/>
          <w:numId w:val="0"/>
        </w:numPr>
        <w:spacing w:line="560" w:lineRule="exact"/>
        <w:ind w:leftChars="200"/>
        <w:rPr>
          <w:rFonts w:hint="eastAsia" w:ascii="黑体" w:hAnsi="黑体" w:eastAsia="黑体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5267325" cy="3724910"/>
            <wp:effectExtent l="0" t="0" r="9525" b="8890"/>
            <wp:wrapNone/>
            <wp:docPr id="13741440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14402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853416">
      <w:pPr>
        <w:rPr>
          <w:rFonts w:hint="eastAsia" w:ascii="仿宋_GB2312" w:hAnsi="仿宋_GB2312" w:eastAsia="仿宋_GB2312" w:cs="仿宋_GB2312"/>
          <w:sz w:val="32"/>
          <w:szCs w:val="36"/>
        </w:rPr>
      </w:pPr>
    </w:p>
    <w:p w14:paraId="334D5DF2">
      <w:pPr>
        <w:spacing w:line="560" w:lineRule="exact"/>
        <w:rPr>
          <w:rFonts w:hint="eastAsia" w:ascii="仿宋_GB2312" w:hAnsi="仿宋_GB2312" w:eastAsia="仿宋_GB2312" w:cs="仿宋_GB2312"/>
          <w:sz w:val="32"/>
          <w:szCs w:val="36"/>
        </w:rPr>
      </w:pPr>
    </w:p>
    <w:p w14:paraId="22C2B4FB">
      <w:pPr>
        <w:spacing w:line="560" w:lineRule="exact"/>
        <w:rPr>
          <w:rFonts w:hint="eastAsia" w:ascii="仿宋_GB2312" w:hAnsi="仿宋_GB2312" w:eastAsia="仿宋_GB2312" w:cs="仿宋_GB2312"/>
          <w:sz w:val="32"/>
          <w:szCs w:val="36"/>
        </w:rPr>
      </w:pPr>
    </w:p>
    <w:p w14:paraId="235D98AD">
      <w:pPr>
        <w:rPr>
          <w:rFonts w:hint="eastAsia" w:ascii="仿宋_GB2312" w:hAnsi="仿宋_GB2312" w:eastAsia="仿宋_GB2312" w:cs="仿宋_GB2312"/>
          <w:sz w:val="32"/>
          <w:szCs w:val="36"/>
        </w:rPr>
      </w:pPr>
    </w:p>
    <w:p w14:paraId="1BF9E1E7">
      <w:pPr>
        <w:spacing w:line="560" w:lineRule="exact"/>
        <w:rPr>
          <w:rFonts w:hint="eastAsia" w:ascii="仿宋_GB2312" w:hAnsi="仿宋_GB2312" w:eastAsia="仿宋_GB2312" w:cs="仿宋_GB2312"/>
          <w:sz w:val="32"/>
          <w:szCs w:val="36"/>
        </w:rPr>
      </w:pPr>
    </w:p>
    <w:p w14:paraId="5E4FA638">
      <w:pPr>
        <w:pStyle w:val="9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BBF1F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F3207F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F3207F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14CA9"/>
    <w:multiLevelType w:val="singleLevel"/>
    <w:tmpl w:val="F4C14CA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hhYmRlZWI5ZmY3MzRkZTZhM2E4NzIxNzZlY2QifQ=="/>
  </w:docVars>
  <w:rsids>
    <w:rsidRoot w:val="4EB27989"/>
    <w:rsid w:val="00861D6C"/>
    <w:rsid w:val="00A40443"/>
    <w:rsid w:val="00CB0D00"/>
    <w:rsid w:val="01352ABB"/>
    <w:rsid w:val="01975889"/>
    <w:rsid w:val="029E1AAE"/>
    <w:rsid w:val="02B032D8"/>
    <w:rsid w:val="02D1385C"/>
    <w:rsid w:val="02F34553"/>
    <w:rsid w:val="03027BA5"/>
    <w:rsid w:val="03A25F53"/>
    <w:rsid w:val="03B14DC9"/>
    <w:rsid w:val="054A0727"/>
    <w:rsid w:val="05574480"/>
    <w:rsid w:val="05AE33E0"/>
    <w:rsid w:val="05DF253A"/>
    <w:rsid w:val="06824EEC"/>
    <w:rsid w:val="06D20934"/>
    <w:rsid w:val="07113CF1"/>
    <w:rsid w:val="075F3B24"/>
    <w:rsid w:val="07A0430F"/>
    <w:rsid w:val="07C221A7"/>
    <w:rsid w:val="07CB3C1C"/>
    <w:rsid w:val="080C529B"/>
    <w:rsid w:val="081F4D12"/>
    <w:rsid w:val="086D54F3"/>
    <w:rsid w:val="097555B4"/>
    <w:rsid w:val="09E523B1"/>
    <w:rsid w:val="0A56591D"/>
    <w:rsid w:val="0A9328CE"/>
    <w:rsid w:val="0AD81F4A"/>
    <w:rsid w:val="0B436D54"/>
    <w:rsid w:val="0B7A5DF0"/>
    <w:rsid w:val="0C44775C"/>
    <w:rsid w:val="0C6307E9"/>
    <w:rsid w:val="0C9441A5"/>
    <w:rsid w:val="0D2C56D1"/>
    <w:rsid w:val="0D5D6967"/>
    <w:rsid w:val="0D9F25CE"/>
    <w:rsid w:val="0E4A2B38"/>
    <w:rsid w:val="0EF84679"/>
    <w:rsid w:val="0F0A3E2B"/>
    <w:rsid w:val="0F977DF4"/>
    <w:rsid w:val="10782CB4"/>
    <w:rsid w:val="10B51F0B"/>
    <w:rsid w:val="115B61D6"/>
    <w:rsid w:val="11781153"/>
    <w:rsid w:val="12600BAF"/>
    <w:rsid w:val="12FD7161"/>
    <w:rsid w:val="134517E8"/>
    <w:rsid w:val="14D416A9"/>
    <w:rsid w:val="15317DA7"/>
    <w:rsid w:val="15A31CD8"/>
    <w:rsid w:val="15DC7CD9"/>
    <w:rsid w:val="166F1587"/>
    <w:rsid w:val="16865510"/>
    <w:rsid w:val="16F0315D"/>
    <w:rsid w:val="17220FCA"/>
    <w:rsid w:val="18252601"/>
    <w:rsid w:val="19BA5C4B"/>
    <w:rsid w:val="1A244B05"/>
    <w:rsid w:val="1A9B5DF1"/>
    <w:rsid w:val="1AA329E4"/>
    <w:rsid w:val="1AB30699"/>
    <w:rsid w:val="1B5E54B7"/>
    <w:rsid w:val="1B8375A0"/>
    <w:rsid w:val="1BF115BE"/>
    <w:rsid w:val="1BFB5D7C"/>
    <w:rsid w:val="1C5F20F4"/>
    <w:rsid w:val="1CB410CC"/>
    <w:rsid w:val="1CC810A4"/>
    <w:rsid w:val="1D5D09A6"/>
    <w:rsid w:val="1E55228F"/>
    <w:rsid w:val="1E7A3018"/>
    <w:rsid w:val="1EC87A1A"/>
    <w:rsid w:val="1F382B87"/>
    <w:rsid w:val="1F4D3B0E"/>
    <w:rsid w:val="1F5C7349"/>
    <w:rsid w:val="1F683A71"/>
    <w:rsid w:val="1FEE3AE1"/>
    <w:rsid w:val="209C1E16"/>
    <w:rsid w:val="20A5520D"/>
    <w:rsid w:val="20EB4090"/>
    <w:rsid w:val="2174404F"/>
    <w:rsid w:val="218D7E8D"/>
    <w:rsid w:val="21BF2761"/>
    <w:rsid w:val="21E268F4"/>
    <w:rsid w:val="22AF2FDA"/>
    <w:rsid w:val="23351FD6"/>
    <w:rsid w:val="23594B1B"/>
    <w:rsid w:val="24F245B9"/>
    <w:rsid w:val="25594825"/>
    <w:rsid w:val="2576670A"/>
    <w:rsid w:val="25980371"/>
    <w:rsid w:val="263F0F37"/>
    <w:rsid w:val="268D3E87"/>
    <w:rsid w:val="26C1418A"/>
    <w:rsid w:val="27B20252"/>
    <w:rsid w:val="283552C9"/>
    <w:rsid w:val="286A2D80"/>
    <w:rsid w:val="28AB456F"/>
    <w:rsid w:val="29175F73"/>
    <w:rsid w:val="299F6534"/>
    <w:rsid w:val="2A32395D"/>
    <w:rsid w:val="2A717C58"/>
    <w:rsid w:val="2AAB425C"/>
    <w:rsid w:val="2AE853EB"/>
    <w:rsid w:val="2B7A54FB"/>
    <w:rsid w:val="2BC53A73"/>
    <w:rsid w:val="2BD23A21"/>
    <w:rsid w:val="2C0E31D4"/>
    <w:rsid w:val="2C756CD8"/>
    <w:rsid w:val="2D154699"/>
    <w:rsid w:val="2D3D035A"/>
    <w:rsid w:val="2D442D05"/>
    <w:rsid w:val="2DEE4AB9"/>
    <w:rsid w:val="2EC27D69"/>
    <w:rsid w:val="2EF70F02"/>
    <w:rsid w:val="2F4E77B4"/>
    <w:rsid w:val="2F6A680F"/>
    <w:rsid w:val="2F7D329D"/>
    <w:rsid w:val="2FEE7921"/>
    <w:rsid w:val="2FF448E9"/>
    <w:rsid w:val="30002D3C"/>
    <w:rsid w:val="30471744"/>
    <w:rsid w:val="30C04F90"/>
    <w:rsid w:val="30D460C8"/>
    <w:rsid w:val="30F41DC0"/>
    <w:rsid w:val="32310629"/>
    <w:rsid w:val="325235E9"/>
    <w:rsid w:val="32F521ED"/>
    <w:rsid w:val="330473B5"/>
    <w:rsid w:val="331323FB"/>
    <w:rsid w:val="340E249D"/>
    <w:rsid w:val="34C64B3E"/>
    <w:rsid w:val="34CD07F2"/>
    <w:rsid w:val="34E40721"/>
    <w:rsid w:val="34E476C0"/>
    <w:rsid w:val="35196C86"/>
    <w:rsid w:val="35FC4D0C"/>
    <w:rsid w:val="368F2EC5"/>
    <w:rsid w:val="36C16C1E"/>
    <w:rsid w:val="36F42802"/>
    <w:rsid w:val="38BC2E1D"/>
    <w:rsid w:val="38FD08C5"/>
    <w:rsid w:val="39B85940"/>
    <w:rsid w:val="39CF7701"/>
    <w:rsid w:val="3A8B6EE9"/>
    <w:rsid w:val="3ABD00F7"/>
    <w:rsid w:val="3AE772AE"/>
    <w:rsid w:val="3B1D6B25"/>
    <w:rsid w:val="3B2C5822"/>
    <w:rsid w:val="3B685FE8"/>
    <w:rsid w:val="3BE01AAE"/>
    <w:rsid w:val="3BFF5CD9"/>
    <w:rsid w:val="3C1D0CA5"/>
    <w:rsid w:val="3C30513B"/>
    <w:rsid w:val="3C3F22F4"/>
    <w:rsid w:val="3D1A20EC"/>
    <w:rsid w:val="3D3B5249"/>
    <w:rsid w:val="3D882BA5"/>
    <w:rsid w:val="3E312624"/>
    <w:rsid w:val="3E4C53E3"/>
    <w:rsid w:val="3E734474"/>
    <w:rsid w:val="3E860E87"/>
    <w:rsid w:val="3EA4581B"/>
    <w:rsid w:val="3EF73201"/>
    <w:rsid w:val="3FF07577"/>
    <w:rsid w:val="40D540DE"/>
    <w:rsid w:val="41127F78"/>
    <w:rsid w:val="41241725"/>
    <w:rsid w:val="418F1ACB"/>
    <w:rsid w:val="41C56155"/>
    <w:rsid w:val="41EE3891"/>
    <w:rsid w:val="422A625B"/>
    <w:rsid w:val="425C6B40"/>
    <w:rsid w:val="42AA6D14"/>
    <w:rsid w:val="431A1CEF"/>
    <w:rsid w:val="434311EB"/>
    <w:rsid w:val="434B270D"/>
    <w:rsid w:val="437953FC"/>
    <w:rsid w:val="43A4180F"/>
    <w:rsid w:val="446B497D"/>
    <w:rsid w:val="44AE17C2"/>
    <w:rsid w:val="44E86B37"/>
    <w:rsid w:val="450C237E"/>
    <w:rsid w:val="455F50F1"/>
    <w:rsid w:val="458E7C10"/>
    <w:rsid w:val="45F54828"/>
    <w:rsid w:val="46102CFF"/>
    <w:rsid w:val="461B7BF6"/>
    <w:rsid w:val="46302B02"/>
    <w:rsid w:val="46350743"/>
    <w:rsid w:val="46F232DD"/>
    <w:rsid w:val="47E51C18"/>
    <w:rsid w:val="49DA6243"/>
    <w:rsid w:val="4A830CA4"/>
    <w:rsid w:val="4AA42D1F"/>
    <w:rsid w:val="4B15024A"/>
    <w:rsid w:val="4B4007F8"/>
    <w:rsid w:val="4B660CCA"/>
    <w:rsid w:val="4B697134"/>
    <w:rsid w:val="4B835A3F"/>
    <w:rsid w:val="4B8C233D"/>
    <w:rsid w:val="4C636905"/>
    <w:rsid w:val="4CAE73BB"/>
    <w:rsid w:val="4CF771B9"/>
    <w:rsid w:val="4DC5234A"/>
    <w:rsid w:val="4DFD310E"/>
    <w:rsid w:val="4EB27989"/>
    <w:rsid w:val="4F477632"/>
    <w:rsid w:val="4FD25151"/>
    <w:rsid w:val="502A27F0"/>
    <w:rsid w:val="503542B7"/>
    <w:rsid w:val="5086150F"/>
    <w:rsid w:val="50C343CA"/>
    <w:rsid w:val="50D267B4"/>
    <w:rsid w:val="50DF43EC"/>
    <w:rsid w:val="510D1D60"/>
    <w:rsid w:val="5133277F"/>
    <w:rsid w:val="51A35D0D"/>
    <w:rsid w:val="51D427C0"/>
    <w:rsid w:val="52D85CDC"/>
    <w:rsid w:val="52D91A9D"/>
    <w:rsid w:val="52F42021"/>
    <w:rsid w:val="530541F4"/>
    <w:rsid w:val="539B57DC"/>
    <w:rsid w:val="542706AB"/>
    <w:rsid w:val="54937583"/>
    <w:rsid w:val="54D5556D"/>
    <w:rsid w:val="550B67C9"/>
    <w:rsid w:val="55385B69"/>
    <w:rsid w:val="56644FFD"/>
    <w:rsid w:val="569567E5"/>
    <w:rsid w:val="56B60FF1"/>
    <w:rsid w:val="56D21280"/>
    <w:rsid w:val="56FA1589"/>
    <w:rsid w:val="57021A43"/>
    <w:rsid w:val="579A2B4F"/>
    <w:rsid w:val="5818472B"/>
    <w:rsid w:val="58A15EE4"/>
    <w:rsid w:val="58CD124D"/>
    <w:rsid w:val="59FF073F"/>
    <w:rsid w:val="5A291957"/>
    <w:rsid w:val="5A334886"/>
    <w:rsid w:val="5A495A01"/>
    <w:rsid w:val="5B604CFC"/>
    <w:rsid w:val="5C242975"/>
    <w:rsid w:val="5CAF7CFF"/>
    <w:rsid w:val="5DB41736"/>
    <w:rsid w:val="5E1C3508"/>
    <w:rsid w:val="5E90334B"/>
    <w:rsid w:val="5F332047"/>
    <w:rsid w:val="5FE6455C"/>
    <w:rsid w:val="5FF13275"/>
    <w:rsid w:val="60685A58"/>
    <w:rsid w:val="61306B09"/>
    <w:rsid w:val="61F4024B"/>
    <w:rsid w:val="62D94888"/>
    <w:rsid w:val="63180E4E"/>
    <w:rsid w:val="633C3427"/>
    <w:rsid w:val="63FD28ED"/>
    <w:rsid w:val="64300E64"/>
    <w:rsid w:val="64504EC2"/>
    <w:rsid w:val="64B6148E"/>
    <w:rsid w:val="64BB4C55"/>
    <w:rsid w:val="64C63512"/>
    <w:rsid w:val="65161120"/>
    <w:rsid w:val="652B6F16"/>
    <w:rsid w:val="65686C13"/>
    <w:rsid w:val="658A694F"/>
    <w:rsid w:val="65A4593C"/>
    <w:rsid w:val="65EC0EA2"/>
    <w:rsid w:val="6616414B"/>
    <w:rsid w:val="67FF1D90"/>
    <w:rsid w:val="6890692C"/>
    <w:rsid w:val="68D02960"/>
    <w:rsid w:val="68DD3BD8"/>
    <w:rsid w:val="6A5249F2"/>
    <w:rsid w:val="6A671C3A"/>
    <w:rsid w:val="6B4B5C7A"/>
    <w:rsid w:val="6C165A36"/>
    <w:rsid w:val="6C561B2E"/>
    <w:rsid w:val="6CE369F4"/>
    <w:rsid w:val="6D2F4417"/>
    <w:rsid w:val="6D505F53"/>
    <w:rsid w:val="6D7D64C3"/>
    <w:rsid w:val="6DDC4943"/>
    <w:rsid w:val="6E1C2761"/>
    <w:rsid w:val="6E4C7EC1"/>
    <w:rsid w:val="6E6D01D0"/>
    <w:rsid w:val="6F321CE1"/>
    <w:rsid w:val="6F644FFD"/>
    <w:rsid w:val="6FA60F45"/>
    <w:rsid w:val="6FF74A5B"/>
    <w:rsid w:val="6FFE0EF2"/>
    <w:rsid w:val="703D697E"/>
    <w:rsid w:val="70BC184A"/>
    <w:rsid w:val="70E44BF9"/>
    <w:rsid w:val="70E54A9D"/>
    <w:rsid w:val="71006E3A"/>
    <w:rsid w:val="716C63F3"/>
    <w:rsid w:val="724A2001"/>
    <w:rsid w:val="72957480"/>
    <w:rsid w:val="730C2E4B"/>
    <w:rsid w:val="73300084"/>
    <w:rsid w:val="739D3403"/>
    <w:rsid w:val="73A50F83"/>
    <w:rsid w:val="73CA6480"/>
    <w:rsid w:val="73F8686C"/>
    <w:rsid w:val="741B5BDE"/>
    <w:rsid w:val="7442283D"/>
    <w:rsid w:val="744E3B2D"/>
    <w:rsid w:val="747D7AA6"/>
    <w:rsid w:val="74820AAE"/>
    <w:rsid w:val="74B34B50"/>
    <w:rsid w:val="75657B2B"/>
    <w:rsid w:val="759D58B4"/>
    <w:rsid w:val="76035888"/>
    <w:rsid w:val="765C0EE0"/>
    <w:rsid w:val="7667251D"/>
    <w:rsid w:val="767A0773"/>
    <w:rsid w:val="767A0F69"/>
    <w:rsid w:val="76884E9E"/>
    <w:rsid w:val="770B7A10"/>
    <w:rsid w:val="774E54E3"/>
    <w:rsid w:val="77E146E5"/>
    <w:rsid w:val="783308F4"/>
    <w:rsid w:val="785F1639"/>
    <w:rsid w:val="789703EA"/>
    <w:rsid w:val="79B445F5"/>
    <w:rsid w:val="7AA64B35"/>
    <w:rsid w:val="7AE646E2"/>
    <w:rsid w:val="7BA72228"/>
    <w:rsid w:val="7BDD4D79"/>
    <w:rsid w:val="7BE35C84"/>
    <w:rsid w:val="7C3523B2"/>
    <w:rsid w:val="7C4F7407"/>
    <w:rsid w:val="7C6D0848"/>
    <w:rsid w:val="7CBC74DE"/>
    <w:rsid w:val="7CC53D25"/>
    <w:rsid w:val="7CF20006"/>
    <w:rsid w:val="7D102C25"/>
    <w:rsid w:val="7D5572ED"/>
    <w:rsid w:val="7E62454C"/>
    <w:rsid w:val="7F3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8">
    <w:name w:val="Default Paragraph Font"/>
    <w:link w:val="19"/>
    <w:semiHidden/>
    <w:qFormat/>
    <w:uiPriority w:val="0"/>
    <w:rPr>
      <w:rFonts w:ascii="宋体" w:hAnsi="宋体" w:cs="宋体"/>
      <w:sz w:val="24"/>
    </w:rPr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</w:rPr>
  </w:style>
  <w:style w:type="paragraph" w:styleId="3">
    <w:name w:val="HTML Preformatted"/>
    <w:basedOn w:val="1"/>
    <w:qFormat/>
    <w:uiPriority w:val="0"/>
    <w:pPr>
      <w:jc w:val="left"/>
    </w:pPr>
    <w:rPr>
      <w:rFonts w:hint="eastAsia" w:ascii="宋体" w:hAnsi="宋体" w:cs="宋体"/>
      <w:kern w:val="0"/>
      <w:sz w:val="24"/>
    </w:rPr>
  </w:style>
  <w:style w:type="paragraph" w:styleId="6">
    <w:name w:val="Normal Indent"/>
    <w:basedOn w:val="1"/>
    <w:next w:val="7"/>
    <w:qFormat/>
    <w:uiPriority w:val="0"/>
    <w:pPr>
      <w:ind w:firstLine="420"/>
    </w:pPr>
  </w:style>
  <w:style w:type="paragraph" w:styleId="7">
    <w:name w:val="Body Text First Indent 2"/>
    <w:basedOn w:val="8"/>
    <w:qFormat/>
    <w:uiPriority w:val="0"/>
    <w:pPr>
      <w:ind w:firstLine="420" w:firstLineChars="200"/>
    </w:pPr>
  </w:style>
  <w:style w:type="paragraph" w:styleId="8">
    <w:name w:val="Body Text Indent"/>
    <w:basedOn w:val="1"/>
    <w:qFormat/>
    <w:uiPriority w:val="0"/>
    <w:pPr>
      <w:ind w:left="1011" w:hanging="1011" w:hangingChars="316"/>
    </w:pPr>
  </w:style>
  <w:style w:type="paragraph" w:styleId="9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10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Times New Roman"/>
      <w:b/>
      <w:bCs/>
      <w:sz w:val="44"/>
      <w:szCs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默认段落字体 Para Char"/>
    <w:basedOn w:val="1"/>
    <w:next w:val="1"/>
    <w:link w:val="18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20">
    <w:name w:val="Strong"/>
    <w:basedOn w:val="18"/>
    <w:qFormat/>
    <w:uiPriority w:val="0"/>
    <w:rPr>
      <w:b/>
    </w:rPr>
  </w:style>
  <w:style w:type="character" w:styleId="21">
    <w:name w:val="page number"/>
    <w:basedOn w:val="18"/>
    <w:qFormat/>
    <w:uiPriority w:val="0"/>
  </w:style>
  <w:style w:type="character" w:styleId="22">
    <w:name w:val="Hyperlink"/>
    <w:basedOn w:val="1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表格文字"/>
    <w:basedOn w:val="1"/>
    <w:next w:val="9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styleId="25">
    <w:name w:val="No Spacing"/>
    <w:qFormat/>
    <w:uiPriority w:val="1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customStyle="1" w:styleId="26">
    <w:name w:val="0"/>
    <w:basedOn w:val="1"/>
    <w:qFormat/>
    <w:uiPriority w:val="0"/>
    <w:pPr>
      <w:widowControl/>
      <w:snapToGrid w:val="0"/>
      <w:spacing w:line="365" w:lineRule="atLeast"/>
      <w:ind w:left="1"/>
    </w:pPr>
    <w:rPr>
      <w:rFonts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1170</Words>
  <Characters>1562</Characters>
  <Lines>0</Lines>
  <Paragraphs>0</Paragraphs>
  <TotalTime>0</TotalTime>
  <ScaleCrop>false</ScaleCrop>
  <LinksUpToDate>false</LinksUpToDate>
  <CharactersWithSpaces>1618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2019-01-02T02:01:00Z</dcterms:created>
  <dc:creator>Administrator</dc:creator>
  <cp:lastModifiedBy>Administrator</cp:lastModifiedBy>
  <cp:lastPrinted>2024-10-22T01:53:00Z</cp:lastPrinted>
  <dcterms:modified xsi:type="dcterms:W3CDTF">2024-10-22T02:10:37Z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FF45D0F714464C7DBE354DAE50E40872_12</vt:lpwstr>
  </property>
</Properties>
</file>