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/>
        </w:rPr>
      </w:pPr>
      <w:bookmarkStart w:id="0" w:name="OLE_LINK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76" w:lineRule="exact"/>
        <w:ind w:left="0" w:leftChars="0" w:right="0" w:rightChars="0" w:firstLine="0" w:firstLineChars="0"/>
        <w:jc w:val="left"/>
        <w:textAlignment w:val="top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76" w:lineRule="exact"/>
        <w:ind w:left="0" w:leftChars="0" w:right="0" w:rightChars="0" w:firstLine="0" w:firstLineChars="0"/>
        <w:jc w:val="left"/>
        <w:textAlignment w:val="top"/>
        <w:outlineLvl w:val="9"/>
        <w:rPr>
          <w:rFonts w:hint="eastAsia"/>
        </w:rPr>
      </w:pPr>
    </w:p>
    <w:p>
      <w:pPr>
        <w:adjustRightInd w:val="0"/>
        <w:snapToGrid w:val="0"/>
        <w:spacing w:line="1200" w:lineRule="exact"/>
        <w:ind w:left="96" w:leftChars="46" w:right="1102" w:rightChars="525"/>
        <w:jc w:val="distribute"/>
        <w:rPr>
          <w:rFonts w:hint="eastAsia" w:ascii="方正小标宋简体" w:hAnsi="方正小标宋简体" w:eastAsia="方正小标宋简体" w:cs="方正小标宋简体"/>
          <w:snapToGrid w:val="0"/>
          <w:color w:val="FF0000"/>
          <w:w w:val="54"/>
          <w:kern w:val="0"/>
          <w:sz w:val="108"/>
          <w:szCs w:val="108"/>
        </w:rPr>
      </w:pPr>
      <w:r>
        <w:rPr>
          <w:rFonts w:hint="eastAsia" w:ascii="方正小标宋简体" w:hAnsi="方正小标宋简体" w:eastAsia="方正小标宋简体" w:cs="方正小标宋简体"/>
          <w:b/>
          <w:w w:val="5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128905</wp:posOffset>
                </wp:positionV>
                <wp:extent cx="914400" cy="1167765"/>
                <wp:effectExtent l="0" t="0" r="0" b="0"/>
                <wp:wrapNone/>
                <wp:docPr id="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napToGrid w:val="0"/>
                                <w:color w:val="FF0000"/>
                                <w:w w:val="53"/>
                                <w:kern w:val="0"/>
                                <w:sz w:val="108"/>
                                <w:szCs w:val="108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385.5pt;margin-top:10.15pt;height:91.95pt;width:72pt;z-index:251665408;mso-width-relative:page;mso-height-relative:page;" filled="f" stroked="f" coordsize="21600,21600" o:gfxdata="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LFSO7XAAAACgEAAA8AAAAAAAAAAQAgAAAA&#10;IgAAAGRycy9kb3ducmV2LnhtbFBLAQIUABQAAAAIAIdO4kC5jmL1mgEAAAoDAAAOAAAAAAAAAAEA&#10;IAAAACY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napToGrid w:val="0"/>
                          <w:color w:val="FF0000"/>
                          <w:w w:val="53"/>
                          <w:kern w:val="0"/>
                          <w:sz w:val="108"/>
                          <w:szCs w:val="108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napToGrid w:val="0"/>
          <w:color w:val="FF0000"/>
          <w:w w:val="54"/>
          <w:kern w:val="0"/>
          <w:sz w:val="108"/>
          <w:szCs w:val="108"/>
        </w:rPr>
        <w:t>福州市人力资源和社会保障局</w:t>
      </w:r>
    </w:p>
    <w:p>
      <w:pPr>
        <w:adjustRightInd w:val="0"/>
        <w:snapToGrid w:val="0"/>
        <w:spacing w:line="1200" w:lineRule="exact"/>
        <w:ind w:left="96" w:leftChars="46" w:right="1102" w:rightChars="525"/>
        <w:jc w:val="distribute"/>
        <w:rPr>
          <w:rFonts w:hint="eastAsia" w:ascii="方正小标宋简体" w:hAnsi="方正小标宋简体" w:eastAsia="方正小标宋简体" w:cs="方正小标宋简体"/>
          <w:snapToGrid w:val="0"/>
          <w:color w:val="FF0000"/>
          <w:w w:val="54"/>
          <w:kern w:val="0"/>
          <w:sz w:val="108"/>
          <w:szCs w:val="10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FF0000"/>
          <w:w w:val="54"/>
          <w:kern w:val="0"/>
          <w:sz w:val="108"/>
          <w:szCs w:val="108"/>
          <w:lang w:eastAsia="zh-CN"/>
        </w:rPr>
        <w:t>福州市财政局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top"/>
        <w:outlineLvl w:val="9"/>
        <w:rPr>
          <w:rFonts w:hint="eastAsia" w:ascii="仿宋_GB2312" w:hAnsi="宋体"/>
          <w:b/>
        </w:rPr>
      </w:pPr>
    </w:p>
    <w:p>
      <w:pPr>
        <w:snapToGrid w:val="0"/>
        <w:spacing w:line="596" w:lineRule="exact"/>
        <w:jc w:val="center"/>
        <w:textAlignment w:val="top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397510</wp:posOffset>
                </wp:positionV>
                <wp:extent cx="5652135" cy="0"/>
                <wp:effectExtent l="0" t="15875" r="5715" b="22225"/>
                <wp:wrapTopAndBottom/>
                <wp:docPr id="2" name="DocMark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DocMarkLine" o:spid="_x0000_s1026" o:spt="20" style="position:absolute;left:0pt;margin-top:31.3pt;height:0pt;width:445.05pt;mso-position-horizontal:center;mso-wrap-distance-bottom:0pt;mso-wrap-distance-top:0pt;z-index:251664384;mso-width-relative:page;mso-height-relative:page;" filled="f" stroked="t" coordsize="21600,21600" o:gfxdata="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rWCJ61gAAAAYBAAAPAAAAAAAAAAEAIAAAACIAAABkcnMvZG93&#10;bnJldi54bWxQSwECFAAUAAAACACHTuJAlmellskBAACRAwAADgAAAAAAAAABACAAAAAlAQAAZHJz&#10;L2Uyb0RvYy54bWxQSwUGAAAAAAYABgBZAQAAYAUAAAAA&#10;">
                <v:fill on="f" focussize="0,0"/>
                <v:stroke weight="2.5pt" color="#FF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榕人社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napToGrid w:val="0"/>
        <w:spacing w:line="596" w:lineRule="exact"/>
        <w:jc w:val="center"/>
        <w:textAlignment w:val="top"/>
        <w:rPr>
          <w:rFonts w:hint="eastAsia" w:ascii="仿宋_GB2312" w:hAnsi="宋体"/>
          <w:b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发放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中小微企业一次性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吸纳</w:t>
      </w: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就业补贴的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实施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各县（市）区</w:t>
      </w:r>
      <w:r>
        <w:rPr>
          <w:rFonts w:hint="eastAsia" w:ascii="仿宋_GB2312" w:eastAsia="仿宋_GB2312"/>
          <w:sz w:val="32"/>
          <w:szCs w:val="32"/>
          <w:lang w:eastAsia="zh-CN"/>
        </w:rPr>
        <w:t>人社</w:t>
      </w:r>
      <w:r>
        <w:rPr>
          <w:rFonts w:hint="eastAsia" w:ascii="仿宋_GB2312" w:eastAsia="仿宋_GB2312"/>
          <w:sz w:val="32"/>
          <w:szCs w:val="32"/>
        </w:rPr>
        <w:t>局、财政局</w:t>
      </w:r>
      <w:r>
        <w:rPr>
          <w:rFonts w:hint="eastAsia" w:ascii="仿宋_GB2312" w:eastAsia="仿宋_GB2312"/>
          <w:sz w:val="32"/>
          <w:szCs w:val="32"/>
          <w:lang w:eastAsia="zh-CN"/>
        </w:rPr>
        <w:t>，高新区人社局、财政金融局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     </w:t>
      </w:r>
      <w:r>
        <w:rPr>
          <w:rFonts w:hint="eastAsia" w:ascii="仿宋_GB2312" w:eastAsia="仿宋_GB2312"/>
          <w:sz w:val="32"/>
          <w:szCs w:val="32"/>
        </w:rPr>
        <w:t>根据《福州市人民政府</w:t>
      </w:r>
      <w:r>
        <w:rPr>
          <w:rFonts w:hint="eastAsia" w:ascii="仿宋_GB2312" w:eastAsia="仿宋_GB2312"/>
          <w:sz w:val="32"/>
          <w:szCs w:val="32"/>
          <w:lang w:eastAsia="zh-CN"/>
        </w:rPr>
        <w:t>办公厅印发关于鼓励高校毕业生来榕就业创业若干措施的通知》（榕政办〔20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lang w:eastAsia="zh-CN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61</w:t>
      </w:r>
      <w:r>
        <w:rPr>
          <w:rFonts w:hint="eastAsia" w:ascii="仿宋_GB2312" w:eastAsia="仿宋_GB2312"/>
          <w:sz w:val="32"/>
          <w:szCs w:val="32"/>
          <w:lang w:eastAsia="zh-CN"/>
        </w:rPr>
        <w:t>号）精神，为支持中小微企业吸纳高校毕业生就业，现将《关于发放中小微企业一次性吸纳就业补贴的实施办法》印发</w:t>
      </w:r>
      <w:r>
        <w:rPr>
          <w:rFonts w:hint="eastAsia" w:ascii="仿宋_GB2312" w:eastAsia="仿宋_GB2312"/>
          <w:sz w:val="32"/>
          <w:szCs w:val="32"/>
        </w:rPr>
        <w:t>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福州市人力资源和社会保障局</w:t>
      </w:r>
      <w:r>
        <w:rPr>
          <w:rFonts w:hint="eastAsia" w:eastAsia="仿宋_GB2312"/>
          <w:sz w:val="32"/>
          <w:szCs w:val="32"/>
        </w:rPr>
        <w:t xml:space="preserve">         </w:t>
      </w:r>
      <w:r>
        <w:rPr>
          <w:rFonts w:hint="eastAsia" w:ascii="仿宋_GB2312" w:eastAsia="仿宋_GB2312"/>
          <w:sz w:val="32"/>
          <w:szCs w:val="32"/>
        </w:rPr>
        <w:t>福州市财政局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920" w:firstLineChars="18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发放</w:t>
      </w:r>
      <w:r>
        <w:rPr>
          <w:rFonts w:hint="eastAsia" w:ascii="方正小标宋简体" w:eastAsia="方正小标宋简体"/>
          <w:sz w:val="44"/>
          <w:szCs w:val="44"/>
        </w:rPr>
        <w:t>中小微企业一次性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吸纳就业补贴的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实施</w:t>
      </w:r>
      <w:r>
        <w:rPr>
          <w:rFonts w:hint="eastAsia" w:ascii="方正小标宋简体" w:eastAsia="方正小标宋简体"/>
          <w:sz w:val="44"/>
          <w:szCs w:val="44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一、补贴对象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招用毕业年度高校毕业生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与其签订1年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以上劳动合同并缴纳社会保险的中小微企业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给予企业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一次性吸纳就业补贴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中小微企业</w:t>
      </w:r>
      <w:r>
        <w:rPr>
          <w:rFonts w:hint="eastAsia" w:eastAsia="仿宋_GB2312"/>
          <w:sz w:val="32"/>
          <w:szCs w:val="32"/>
          <w:lang w:eastAsia="zh-CN"/>
        </w:rPr>
        <w:t>是指符合闽人社发</w:t>
      </w:r>
      <w:r>
        <w:rPr>
          <w:rFonts w:hint="eastAsia" w:ascii="仿宋_GB2312" w:eastAsia="仿宋_GB2312"/>
          <w:sz w:val="32"/>
          <w:szCs w:val="32"/>
          <w:lang w:eastAsia="zh-CN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lang w:eastAsia="zh-CN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号中“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2020年2月至6月，免征三项社会保险单位缴费部分</w:t>
      </w:r>
      <w:r>
        <w:rPr>
          <w:rFonts w:hint="eastAsia" w:ascii="仿宋_GB2312" w:eastAsia="仿宋_GB2312"/>
          <w:sz w:val="32"/>
          <w:szCs w:val="32"/>
          <w:lang w:eastAsia="zh-CN"/>
        </w:rPr>
        <w:t>”的企业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毕业年度高校毕业生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2020届全日制普通高等学校大专以上学历毕业生。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  <w:lang w:eastAsia="zh-CN"/>
        </w:rPr>
        <w:t>补贴标准和期限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中小微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企业一次性吸纳就业补贴标准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1000元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，补贴政策受理截止期限为2020年12月31日。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符合条件的</w:t>
      </w:r>
      <w:r>
        <w:rPr>
          <w:rFonts w:hint="eastAsia" w:ascii="仿宋" w:hAnsi="仿宋" w:eastAsia="仿宋" w:cs="仿宋"/>
          <w:sz w:val="32"/>
          <w:szCs w:val="32"/>
        </w:rPr>
        <w:t>中小微企业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向营业执照住</w:t>
      </w:r>
      <w:r>
        <w:rPr>
          <w:rFonts w:hint="eastAsia" w:ascii="仿宋" w:hAnsi="仿宋" w:eastAsia="仿宋" w:cs="仿宋"/>
          <w:sz w:val="32"/>
          <w:szCs w:val="32"/>
        </w:rPr>
        <w:t>所地的县（市）区公共就业和人才服务机构申报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提供以下材料：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</w:t>
      </w:r>
      <w:r>
        <w:rPr>
          <w:rFonts w:hint="eastAsia" w:ascii="仿宋" w:hAnsi="仿宋" w:eastAsia="仿宋" w:cs="仿宋"/>
          <w:sz w:val="32"/>
          <w:szCs w:val="32"/>
        </w:rPr>
        <w:t>市中小微企业一次性吸纳就业补贴申报表》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</w:t>
      </w:r>
      <w:r>
        <w:rPr>
          <w:rFonts w:hint="eastAsia" w:ascii="仿宋" w:hAnsi="仿宋" w:eastAsia="仿宋" w:cs="仿宋"/>
          <w:sz w:val="32"/>
          <w:szCs w:val="32"/>
        </w:rPr>
        <w:t>市中小微企业一次性吸纳就业补贴花名册》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3.企业工商营业执照复印件；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4.新招用高校毕业生的《劳动合同》、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社保缴费凭证复印件；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企业招用的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劳务派遣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人员，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还需提供与劳务派遣企业签订的派遣合同等证明材料）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5.高校毕业生身份证、毕业证书复印件。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eastAsia="zh-CN"/>
        </w:rPr>
        <w:t>四、审核发放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各县（市）区公共就业和人才服务机构</w:t>
      </w:r>
      <w:r>
        <w:rPr>
          <w:rFonts w:hint="eastAsia" w:ascii="仿宋_GB2312" w:eastAsia="仿宋_GB2312"/>
          <w:sz w:val="32"/>
          <w:szCs w:val="32"/>
          <w:lang w:eastAsia="zh-CN"/>
        </w:rPr>
        <w:t>要及时审核申报材料，按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发放</w:t>
      </w:r>
      <w:r>
        <w:rPr>
          <w:rFonts w:hint="eastAsia" w:ascii="仿宋_GB2312" w:eastAsia="仿宋_GB2312"/>
          <w:sz w:val="32"/>
          <w:szCs w:val="32"/>
        </w:rPr>
        <w:t>一次性吸纳就业补贴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审核。</w:t>
      </w:r>
      <w:r>
        <w:rPr>
          <w:rFonts w:hint="eastAsia" w:ascii="仿宋_GB2312" w:eastAsia="仿宋_GB2312"/>
          <w:sz w:val="32"/>
          <w:szCs w:val="32"/>
          <w:lang w:eastAsia="zh-CN"/>
        </w:rPr>
        <w:t>查询“国家企业信息公示系统”核实企业信息，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被列入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严重违法失信企业名单的不予发放补贴。</w:t>
      </w:r>
      <w:r>
        <w:rPr>
          <w:rFonts w:hint="eastAsia" w:ascii="仿宋_GB2312" w:eastAsia="仿宋_GB2312"/>
          <w:sz w:val="32"/>
          <w:szCs w:val="32"/>
          <w:lang w:eastAsia="zh-CN"/>
        </w:rPr>
        <w:t>查询“学信网”核实高校毕业生毕业证书编号和毕业时间等信息。查询“福州金保信息交换系统”核实招用人员的社保缴费起始时间及缴费记录。</w:t>
      </w:r>
      <w:r>
        <w:rPr>
          <w:rFonts w:hint="eastAsia" w:ascii="仿宋_GB2312" w:eastAsia="仿宋_GB2312"/>
          <w:sz w:val="32"/>
          <w:szCs w:val="32"/>
        </w:rPr>
        <w:t>各县（市）区公共就业和人才服务机构</w:t>
      </w:r>
      <w:r>
        <w:rPr>
          <w:rFonts w:hint="eastAsia" w:ascii="仿宋_GB2312" w:eastAsia="仿宋_GB2312"/>
          <w:sz w:val="32"/>
          <w:szCs w:val="32"/>
          <w:lang w:eastAsia="zh-CN"/>
        </w:rPr>
        <w:t>初审通过，</w:t>
      </w:r>
      <w:r>
        <w:rPr>
          <w:rFonts w:hint="eastAsia" w:ascii="仿宋_GB2312" w:eastAsia="仿宋_GB2312"/>
          <w:sz w:val="32"/>
          <w:szCs w:val="32"/>
        </w:rPr>
        <w:t>报</w:t>
      </w:r>
      <w:r>
        <w:rPr>
          <w:rFonts w:hint="eastAsia" w:ascii="仿宋_GB2312" w:eastAsia="仿宋_GB2312"/>
          <w:sz w:val="32"/>
          <w:szCs w:val="32"/>
          <w:lang w:eastAsia="zh-CN"/>
        </w:rPr>
        <w:t>同级</w:t>
      </w:r>
      <w:r>
        <w:rPr>
          <w:rFonts w:hint="eastAsia" w:ascii="仿宋_GB2312" w:eastAsia="仿宋_GB2312"/>
          <w:sz w:val="32"/>
          <w:szCs w:val="32"/>
        </w:rPr>
        <w:t>人社局审定</w:t>
      </w:r>
      <w:r>
        <w:rPr>
          <w:rFonts w:hint="eastAsia" w:ascii="仿宋_GB2312" w:eastAsia="仿宋_GB2312"/>
          <w:sz w:val="32"/>
          <w:szCs w:val="32"/>
          <w:lang w:eastAsia="zh-CN"/>
        </w:rPr>
        <w:t>后，须向市人社局报备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公示。各县（市）区</w:t>
      </w:r>
      <w:r>
        <w:rPr>
          <w:rFonts w:hint="eastAsia" w:ascii="仿宋_GB2312" w:eastAsia="仿宋_GB2312"/>
          <w:sz w:val="32"/>
          <w:szCs w:val="32"/>
          <w:lang w:eastAsia="zh-CN"/>
        </w:rPr>
        <w:t>人社局</w:t>
      </w:r>
      <w:r>
        <w:rPr>
          <w:rFonts w:hint="eastAsia" w:ascii="仿宋_GB2312" w:eastAsia="仿宋_GB2312"/>
          <w:sz w:val="32"/>
          <w:szCs w:val="32"/>
        </w:rPr>
        <w:t>通过政府网站向社会公示，</w:t>
      </w:r>
      <w:r>
        <w:rPr>
          <w:rFonts w:hint="eastAsia" w:ascii="仿宋_GB2312" w:eastAsia="仿宋_GB2312"/>
          <w:sz w:val="32"/>
          <w:szCs w:val="32"/>
          <w:lang w:eastAsia="zh-CN"/>
        </w:rPr>
        <w:t>公示信息</w:t>
      </w:r>
      <w:r>
        <w:rPr>
          <w:rFonts w:hint="eastAsia" w:ascii="仿宋_GB2312" w:eastAsia="仿宋_GB2312"/>
          <w:sz w:val="32"/>
          <w:szCs w:val="32"/>
        </w:rPr>
        <w:t>包括企业名称、</w:t>
      </w:r>
      <w:r>
        <w:rPr>
          <w:rFonts w:hint="eastAsia" w:ascii="仿宋_GB2312" w:eastAsia="仿宋_GB2312"/>
          <w:sz w:val="32"/>
          <w:szCs w:val="32"/>
          <w:lang w:eastAsia="zh-CN"/>
        </w:rPr>
        <w:t>毕业生姓名、毕业院校、毕业年度、招用时间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拟补贴金额</w:t>
      </w:r>
      <w:r>
        <w:rPr>
          <w:rFonts w:hint="eastAsia" w:ascii="仿宋_GB2312" w:eastAsia="仿宋_GB2312"/>
          <w:sz w:val="32"/>
          <w:szCs w:val="32"/>
        </w:rPr>
        <w:t>等，公示期不少于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个工作日。公示无异议的，</w:t>
      </w:r>
      <w:r>
        <w:rPr>
          <w:rFonts w:eastAsia="仿宋_GB2312"/>
          <w:sz w:val="32"/>
          <w:szCs w:val="32"/>
        </w:rPr>
        <w:t>按程序报</w:t>
      </w:r>
      <w:r>
        <w:rPr>
          <w:rFonts w:hint="eastAsia" w:eastAsia="仿宋_GB2312"/>
          <w:sz w:val="32"/>
          <w:szCs w:val="32"/>
          <w:lang w:eastAsia="zh-CN"/>
        </w:rPr>
        <w:t>同级</w:t>
      </w:r>
      <w:r>
        <w:rPr>
          <w:rFonts w:eastAsia="仿宋_GB2312"/>
          <w:sz w:val="32"/>
          <w:szCs w:val="32"/>
        </w:rPr>
        <w:t>财政部门审核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发放</w:t>
      </w:r>
      <w:r>
        <w:rPr>
          <w:rFonts w:hint="eastAsia" w:ascii="仿宋_GB2312" w:eastAsia="仿宋_GB2312"/>
          <w:sz w:val="32"/>
          <w:szCs w:val="32"/>
        </w:rPr>
        <w:t>。各县（市）区</w:t>
      </w:r>
      <w:r>
        <w:rPr>
          <w:rFonts w:eastAsia="仿宋_GB2312"/>
          <w:sz w:val="32"/>
          <w:szCs w:val="32"/>
        </w:rPr>
        <w:t>财政</w:t>
      </w:r>
      <w:r>
        <w:rPr>
          <w:rFonts w:hint="eastAsia" w:eastAsia="仿宋_GB2312"/>
          <w:sz w:val="32"/>
          <w:szCs w:val="32"/>
          <w:lang w:eastAsia="zh-CN"/>
        </w:rPr>
        <w:t>局、人社局要</w:t>
      </w:r>
      <w:r>
        <w:rPr>
          <w:rFonts w:eastAsia="仿宋_GB2312"/>
          <w:sz w:val="32"/>
          <w:szCs w:val="32"/>
        </w:rPr>
        <w:t>按规定及时将补贴资金拨付至申报企业在银行开立的基本账户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所需资金从各县（市）区就业补助资金列支。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各县（市）区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、高新区人社局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要指派专人负责此项工作，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经办人员信息（单位、姓名、电话、地址）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发送至邮箱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fzsbys@126.com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，联系电话：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83337727。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补贴政策受理截止期限为2020年12月31日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，逾期申报不再享受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一次性吸纳就业补贴。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劳务派遣企业、人事代理企业除本企业自用员工外，劳务派遣、人事代理人员等不列入该企业一次性吸纳就业补贴人数。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同一高校毕业生先后在不同企业就业，若已有企业享受该生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一次性吸纳就业补贴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，其他企业不再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重复享受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5.各县（市）区人社局于</w:t>
      </w:r>
      <w:r>
        <w:rPr>
          <w:rFonts w:hint="eastAsia" w:ascii="仿宋" w:hAnsi="仿宋" w:eastAsia="仿宋" w:cs="Times New Roman"/>
          <w:sz w:val="32"/>
          <w:lang w:val="en-US" w:eastAsia="zh-CN"/>
        </w:rPr>
        <w:t>2021年1月15日前将补贴核拨文件的扫描件和花名册电子表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发送至邮箱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fzsbys@126.com</w:t>
      </w:r>
      <w:r>
        <w:rPr>
          <w:rFonts w:hint="eastAsia" w:ascii="仿宋" w:hAnsi="仿宋" w:eastAsia="仿宋" w:cs="Times New Roman"/>
          <w:sz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</w:t>
      </w:r>
      <w:r>
        <w:rPr>
          <w:rFonts w:hint="eastAsia" w:ascii="仿宋" w:hAnsi="仿宋" w:eastAsia="仿宋" w:cs="仿宋"/>
          <w:sz w:val="32"/>
          <w:szCs w:val="32"/>
        </w:rPr>
        <w:t>市中小微企业一次性吸纳就业补贴申报表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</w:t>
      </w:r>
      <w:r>
        <w:rPr>
          <w:rFonts w:hint="eastAsia" w:ascii="仿宋" w:hAnsi="仿宋" w:eastAsia="仿宋" w:cs="仿宋"/>
          <w:sz w:val="32"/>
          <w:szCs w:val="32"/>
        </w:rPr>
        <w:t>市中小微企业一次性吸纳就业补贴花名册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page"/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  <w:lang w:eastAsia="zh-CN"/>
        </w:rPr>
        <w:t>福州</w:t>
      </w:r>
      <w:r>
        <w:rPr>
          <w:rFonts w:hint="eastAsia" w:ascii="方正小标宋简体" w:eastAsia="方正小标宋简体"/>
          <w:sz w:val="36"/>
          <w:szCs w:val="32"/>
        </w:rPr>
        <w:t>市中小微企业一次性吸纳就业补贴申报表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2"/>
        </w:rPr>
      </w:pPr>
    </w:p>
    <w:tbl>
      <w:tblPr>
        <w:tblStyle w:val="4"/>
        <w:tblW w:w="87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580"/>
        <w:gridCol w:w="941"/>
        <w:gridCol w:w="1932"/>
        <w:gridCol w:w="1293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单位社保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编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号</w:t>
            </w:r>
          </w:p>
        </w:tc>
        <w:tc>
          <w:tcPr>
            <w:tcW w:w="15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联系人</w:t>
            </w:r>
          </w:p>
        </w:tc>
        <w:tc>
          <w:tcPr>
            <w:tcW w:w="19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企业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名称</w:t>
            </w:r>
          </w:p>
        </w:tc>
        <w:tc>
          <w:tcPr>
            <w:tcW w:w="445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营业执照住所</w:t>
            </w:r>
          </w:p>
        </w:tc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统一社会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信用代码</w:t>
            </w:r>
          </w:p>
        </w:tc>
        <w:tc>
          <w:tcPr>
            <w:tcW w:w="15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法人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代表</w:t>
            </w:r>
          </w:p>
        </w:tc>
        <w:tc>
          <w:tcPr>
            <w:tcW w:w="19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法人代表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身份证号码</w:t>
            </w:r>
          </w:p>
        </w:tc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招用毕业年度高校毕业生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人数</w:t>
            </w:r>
          </w:p>
        </w:tc>
        <w:tc>
          <w:tcPr>
            <w:tcW w:w="15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9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申报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时间</w:t>
            </w:r>
          </w:p>
        </w:tc>
        <w:tc>
          <w:tcPr>
            <w:tcW w:w="19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  <w:tc>
          <w:tcPr>
            <w:tcW w:w="12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补贴金额</w:t>
            </w:r>
          </w:p>
        </w:tc>
        <w:tc>
          <w:tcPr>
            <w:tcW w:w="154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开户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银行</w:t>
            </w:r>
          </w:p>
        </w:tc>
        <w:tc>
          <w:tcPr>
            <w:tcW w:w="72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银行基本账号</w:t>
            </w:r>
          </w:p>
        </w:tc>
        <w:tc>
          <w:tcPr>
            <w:tcW w:w="72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7" w:hRule="atLeast"/>
        </w:trPr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企业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承诺</w:t>
            </w:r>
          </w:p>
        </w:tc>
        <w:tc>
          <w:tcPr>
            <w:tcW w:w="72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600" w:firstLineChars="250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00" w:firstLineChars="250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我单位为中小微型企业，招用毕业年度高校毕业生，与其签订1年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及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以上劳动合同并缴纳社会保险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，信息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真实有效（详见《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福州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市中小微企业一次性吸纳就业补贴花名册》）。如存在弄虚作假，骗取补贴的违法行为，我单位愿意承担相应法律责任。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600" w:firstLineChars="250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5925" w:leftChars="250" w:hanging="5400" w:hangingChars="225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企业法定代表人（签名）：</w:t>
            </w:r>
            <w:r>
              <w:rPr>
                <w:rFonts w:hint="eastAsia" w:ascii="仿宋_GB2312" w:eastAsia="仿宋_GB2312"/>
                <w:sz w:val="24"/>
                <w:szCs w:val="21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5925" w:leftChars="250" w:hanging="5400" w:hangingChars="225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 xml:space="preserve">       企业（盖章）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 xml:space="preserve">                        年   月    日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rFonts w:eastAsia="仿宋_GB2312"/>
          <w:sz w:val="32"/>
          <w:szCs w:val="32"/>
        </w:rPr>
        <w:sectPr>
          <w:pgSz w:w="11906" w:h="16838"/>
          <w:pgMar w:top="1587" w:right="1474" w:bottom="1701" w:left="1587" w:header="851" w:footer="992" w:gutter="0"/>
          <w:paperSrc/>
          <w:cols w:space="0" w:num="1"/>
          <w:rtlGutter w:val="0"/>
          <w:docGrid w:type="lines" w:linePitch="315" w:charSpace="0"/>
        </w:sectPr>
      </w:pPr>
    </w:p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ind w:firstLine="180" w:firstLineChars="50"/>
        <w:jc w:val="center"/>
        <w:rPr>
          <w:rFonts w:hint="eastAsia"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  <w:lang w:eastAsia="zh-CN"/>
        </w:rPr>
        <w:t>福州</w:t>
      </w:r>
      <w:r>
        <w:rPr>
          <w:rFonts w:hint="eastAsia" w:ascii="方正小标宋简体" w:eastAsia="方正小标宋简体"/>
          <w:sz w:val="36"/>
          <w:szCs w:val="32"/>
        </w:rPr>
        <w:t>市中小微企业一次性吸纳就业补贴花名册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180" w:firstLineChars="5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2"/>
        </w:rPr>
      </w:pPr>
    </w:p>
    <w:p>
      <w:pPr>
        <w:ind w:firstLine="140" w:firstLineChars="50"/>
        <w:rPr>
          <w:rFonts w:hint="eastAsia" w:ascii="仿宋_GB2312" w:eastAsia="仿宋_GB2312"/>
          <w:kern w:val="0"/>
          <w:sz w:val="28"/>
          <w:szCs w:val="21"/>
        </w:rPr>
      </w:pPr>
      <w:r>
        <w:rPr>
          <w:rFonts w:hint="eastAsia" w:ascii="仿宋_GB2312" w:eastAsia="仿宋_GB2312"/>
          <w:sz w:val="28"/>
          <w:szCs w:val="21"/>
        </w:rPr>
        <w:t xml:space="preserve">单位名称（盖章）                  </w:t>
      </w:r>
      <w:r>
        <w:rPr>
          <w:rFonts w:hint="eastAsia" w:ascii="仿宋_GB2312" w:eastAsia="仿宋_GB2312"/>
          <w:sz w:val="28"/>
          <w:szCs w:val="21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28"/>
          <w:szCs w:val="21"/>
        </w:rPr>
        <w:t xml:space="preserve">            年    月   日</w:t>
      </w:r>
    </w:p>
    <w:tbl>
      <w:tblPr>
        <w:tblStyle w:val="4"/>
        <w:tblW w:w="14123" w:type="dxa"/>
        <w:jc w:val="center"/>
        <w:tblInd w:w="-3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238"/>
        <w:gridCol w:w="2016"/>
        <w:gridCol w:w="1608"/>
        <w:gridCol w:w="941"/>
        <w:gridCol w:w="1414"/>
        <w:gridCol w:w="1606"/>
        <w:gridCol w:w="1212"/>
        <w:gridCol w:w="1576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序号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 xml:space="preserve"> 姓名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身份证号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毕业院校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学历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专业</w:t>
            </w:r>
          </w:p>
        </w:tc>
        <w:tc>
          <w:tcPr>
            <w:tcW w:w="160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毕业时间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劳动合同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起止时间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社保缴费时</w:t>
            </w:r>
            <w:r>
              <w:rPr>
                <w:rFonts w:hint="eastAsia" w:ascii="仿宋_GB2312" w:eastAsia="仿宋_GB2312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1"/>
                <w:lang w:eastAsia="zh-CN"/>
              </w:rPr>
              <w:t>间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94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0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7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7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94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0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7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7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94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0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7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7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94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0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7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7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94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0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7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7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94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0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7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7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238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201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08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94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60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212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76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  <w:tc>
          <w:tcPr>
            <w:tcW w:w="1571" w:type="dxa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type w:val="continuous"/>
          <w:pgSz w:w="16838" w:h="11906" w:orient="landscape"/>
          <w:pgMar w:top="1701" w:right="1440" w:bottom="1701" w:left="1440" w:header="851" w:footer="992" w:gutter="0"/>
          <w:cols w:space="0" w:num="1"/>
          <w:rtlGutter w:val="0"/>
          <w:docGrid w:type="lines" w:linePitch="314" w:charSpace="0"/>
        </w:sect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28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OLE_LINK1"/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5615940" cy="307340"/>
                <wp:effectExtent l="0" t="0" r="0" b="0"/>
                <wp:wrapNone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307340"/>
                          <a:chOff x="1588" y="4680"/>
                          <a:chExt cx="8844" cy="484"/>
                        </a:xfrm>
                      </wpg:grpSpPr>
                      <wps:wsp>
                        <wps:cNvPr id="3" name="直线 3"/>
                        <wps:cNvSpPr/>
                        <wps:spPr>
                          <a:xfrm>
                            <a:off x="1588" y="4680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4"/>
                        <wps:cNvSpPr/>
                        <wps:spPr>
                          <a:xfrm>
                            <a:off x="1588" y="5164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top:3.2pt;height:24.2pt;width:442.2pt;mso-position-horizontal:center;z-index:251671552;mso-width-relative:page;mso-height-relative:page;" coordorigin="1588,4680" coordsize="8844,484" o:gfxdata="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7UgBNYAAAAFAQAADwAAAAAAAAABACAAAAAiAAAAZHJzL2Rvd25yZXYueG1sUEsBAhQAFAAAAAgA&#10;h07iQFpsP3lgAgAAvwYAAA4AAAAAAAAAAQAgAAAAJQEAAGRycy9lMm9Eb2MueG1sUEsFBgAAAAAG&#10;AAYAWQEAAPcFAAAAAA==&#10;">
                <o:lock v:ext="edit" aspectratio="f"/>
                <v:line id="直线 3" o:spid="_x0000_s1026" o:spt="20" style="position:absolute;left:1588;top:4680;height:0;width:8844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" o:spid="_x0000_s1026" o:spt="20" style="position:absolute;left:1588;top:5164;height:0;width:8844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 xml:space="preserve">福州市人力资源和社会保障局办公室       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 xml:space="preserve"> 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20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20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年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6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月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8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日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印发</w:t>
      </w:r>
      <w:bookmarkEnd w:id="1"/>
    </w:p>
    <w:sectPr>
      <w:type w:val="continuous"/>
      <w:pgSz w:w="11906" w:h="16838"/>
      <w:pgMar w:top="1587" w:right="1474" w:bottom="1701" w:left="1587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zzhuny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00CB5"/>
    <w:rsid w:val="11012527"/>
    <w:rsid w:val="15A05D63"/>
    <w:rsid w:val="19720DA8"/>
    <w:rsid w:val="1B80599D"/>
    <w:rsid w:val="26A95C23"/>
    <w:rsid w:val="275B43F4"/>
    <w:rsid w:val="285D0737"/>
    <w:rsid w:val="2F785547"/>
    <w:rsid w:val="3113521E"/>
    <w:rsid w:val="37B41714"/>
    <w:rsid w:val="391A53F3"/>
    <w:rsid w:val="422768BD"/>
    <w:rsid w:val="49682A15"/>
    <w:rsid w:val="4FA127D1"/>
    <w:rsid w:val="51DC6A0A"/>
    <w:rsid w:val="55D05BF1"/>
    <w:rsid w:val="574E6EF6"/>
    <w:rsid w:val="60F745DD"/>
    <w:rsid w:val="68005FDE"/>
    <w:rsid w:val="689738CA"/>
    <w:rsid w:val="6C700603"/>
    <w:rsid w:val="6F9B0E55"/>
    <w:rsid w:val="7C29615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123</cp:lastModifiedBy>
  <cp:lastPrinted>2020-06-15T01:38:27Z</cp:lastPrinted>
  <dcterms:modified xsi:type="dcterms:W3CDTF">2020-06-15T01:38:39Z</dcterms:modified>
  <dc:title>关于发放中小微企业一次性吸纳就业补贴的实施办法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