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9EFE4">
      <w:pPr>
        <w:spacing w:before="156"/>
        <w:ind w:firstLine="0" w:firstLineChars="0"/>
        <w:jc w:val="center"/>
        <w:rPr>
          <w:rFonts w:hAnsi="黑体" w:eastAsia="黑体"/>
          <w:spacing w:val="-4"/>
          <w:sz w:val="52"/>
          <w:szCs w:val="56"/>
        </w:rPr>
      </w:pPr>
    </w:p>
    <w:p w14:paraId="3565D5C6">
      <w:pPr>
        <w:spacing w:before="156"/>
        <w:ind w:firstLine="0" w:firstLineChars="0"/>
        <w:jc w:val="center"/>
        <w:rPr>
          <w:rFonts w:hAnsi="黑体" w:eastAsia="黑体"/>
          <w:spacing w:val="-4"/>
          <w:sz w:val="52"/>
          <w:szCs w:val="56"/>
        </w:rPr>
      </w:pPr>
    </w:p>
    <w:p w14:paraId="0C1D4677">
      <w:pPr>
        <w:pStyle w:val="22"/>
        <w:shd w:val="clear" w:color="auto" w:fill="FFFFFF"/>
        <w:spacing w:before="0" w:beforeAutospacing="0" w:after="0" w:afterAutospacing="0" w:line="360" w:lineRule="auto"/>
        <w:ind w:firstLine="0" w:firstLineChars="0"/>
        <w:jc w:val="center"/>
        <w:rPr>
          <w:rStyle w:val="27"/>
          <w:rFonts w:ascii="Times New Roman" w:hAnsi="Times New Roman" w:eastAsia="黑体" w:cs="Times New Roman"/>
          <w:sz w:val="52"/>
          <w:szCs w:val="52"/>
        </w:rPr>
      </w:pPr>
      <w:r>
        <w:rPr>
          <w:rStyle w:val="27"/>
          <w:rFonts w:hint="eastAsia" w:ascii="Times New Roman" w:hAnsi="Times New Roman" w:eastAsia="黑体" w:cs="Times New Roman"/>
          <w:sz w:val="52"/>
          <w:szCs w:val="52"/>
        </w:rPr>
        <w:t>闽侯县“十四五”生态环境保护规划</w:t>
      </w:r>
    </w:p>
    <w:p w14:paraId="6BDAF40B">
      <w:pPr>
        <w:spacing w:before="468" w:beforeLines="150"/>
        <w:ind w:firstLine="0" w:firstLineChars="0"/>
        <w:jc w:val="center"/>
        <w:rPr>
          <w:rFonts w:ascii="黑体" w:hAnsi="黑体" w:eastAsia="黑体"/>
          <w:b/>
          <w:sz w:val="44"/>
          <w:szCs w:val="44"/>
        </w:rPr>
      </w:pPr>
    </w:p>
    <w:p w14:paraId="26D497E1">
      <w:pPr>
        <w:ind w:firstLine="640"/>
        <w:rPr>
          <w:szCs w:val="30"/>
        </w:rPr>
      </w:pPr>
    </w:p>
    <w:p w14:paraId="429D0253">
      <w:pPr>
        <w:ind w:firstLine="640"/>
        <w:rPr>
          <w:szCs w:val="30"/>
        </w:rPr>
      </w:pPr>
    </w:p>
    <w:p w14:paraId="6D31E3BA">
      <w:pPr>
        <w:ind w:firstLine="640"/>
        <w:rPr>
          <w:szCs w:val="30"/>
        </w:rPr>
      </w:pPr>
    </w:p>
    <w:p w14:paraId="4588687C">
      <w:pPr>
        <w:ind w:firstLine="640"/>
        <w:rPr>
          <w:szCs w:val="30"/>
        </w:rPr>
      </w:pPr>
    </w:p>
    <w:p w14:paraId="1834D4AD">
      <w:pPr>
        <w:ind w:firstLine="640"/>
        <w:rPr>
          <w:szCs w:val="30"/>
        </w:rPr>
      </w:pPr>
    </w:p>
    <w:p w14:paraId="2DC0097B">
      <w:pPr>
        <w:ind w:firstLine="640"/>
        <w:rPr>
          <w:szCs w:val="30"/>
        </w:rPr>
      </w:pPr>
    </w:p>
    <w:p w14:paraId="3A31AE26">
      <w:pPr>
        <w:ind w:firstLine="640"/>
        <w:rPr>
          <w:szCs w:val="30"/>
        </w:rPr>
      </w:pPr>
    </w:p>
    <w:p w14:paraId="3308EDAC">
      <w:pPr>
        <w:ind w:firstLine="640"/>
        <w:rPr>
          <w:szCs w:val="30"/>
        </w:rPr>
      </w:pPr>
    </w:p>
    <w:p w14:paraId="6602AB98">
      <w:pPr>
        <w:ind w:firstLine="640"/>
        <w:rPr>
          <w:szCs w:val="30"/>
        </w:rPr>
      </w:pPr>
    </w:p>
    <w:p w14:paraId="5418DCCB">
      <w:pPr>
        <w:ind w:firstLine="640"/>
        <w:rPr>
          <w:szCs w:val="30"/>
        </w:rPr>
      </w:pPr>
    </w:p>
    <w:p w14:paraId="11461ABD">
      <w:pPr>
        <w:ind w:firstLine="640"/>
        <w:rPr>
          <w:szCs w:val="30"/>
        </w:rPr>
      </w:pPr>
    </w:p>
    <w:p w14:paraId="03F524DB">
      <w:pPr>
        <w:ind w:firstLine="640"/>
        <w:rPr>
          <w:szCs w:val="30"/>
        </w:rPr>
      </w:pPr>
    </w:p>
    <w:p w14:paraId="6D86FEAC">
      <w:pPr>
        <w:ind w:firstLine="640"/>
        <w:rPr>
          <w:szCs w:val="30"/>
        </w:rPr>
      </w:pPr>
    </w:p>
    <w:p w14:paraId="07967F89">
      <w:pPr>
        <w:pStyle w:val="2"/>
        <w:spacing w:after="0" w:afterAutospacing="0"/>
        <w:ind w:firstLine="640"/>
      </w:pPr>
    </w:p>
    <w:p w14:paraId="0FE0E80E">
      <w:pPr>
        <w:spacing w:before="312" w:beforeLines="100"/>
        <w:ind w:firstLine="0" w:firstLineChars="0"/>
        <w:jc w:val="center"/>
        <w:rPr>
          <w:rFonts w:eastAsia="黑体"/>
          <w:sz w:val="40"/>
          <w:szCs w:val="32"/>
        </w:rPr>
      </w:pPr>
      <w:bookmarkStart w:id="0" w:name="_Toc251503674"/>
      <w:bookmarkStart w:id="1" w:name="_Toc250979180"/>
      <w:bookmarkStart w:id="2" w:name="_Toc250979027"/>
      <w:r>
        <w:rPr>
          <w:rFonts w:hint="eastAsia" w:eastAsia="黑体"/>
          <w:sz w:val="40"/>
          <w:szCs w:val="32"/>
        </w:rPr>
        <w:t>福州市闽侯生态环境局</w:t>
      </w:r>
    </w:p>
    <w:bookmarkEnd w:id="0"/>
    <w:bookmarkEnd w:id="1"/>
    <w:bookmarkEnd w:id="2"/>
    <w:p w14:paraId="172010A9">
      <w:pPr>
        <w:spacing w:before="312" w:beforeLines="100"/>
        <w:ind w:firstLine="0" w:firstLineChars="0"/>
        <w:jc w:val="center"/>
        <w:rPr>
          <w:rFonts w:eastAsia="黑体"/>
          <w:sz w:val="40"/>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18" w:right="1247" w:bottom="1134" w:left="1247" w:header="851" w:footer="992" w:gutter="0"/>
          <w:cols w:space="425" w:num="1"/>
          <w:docGrid w:type="lines" w:linePitch="312" w:charSpace="0"/>
        </w:sectPr>
      </w:pPr>
      <w:r>
        <w:rPr>
          <w:rFonts w:hint="eastAsia" w:eastAsia="黑体"/>
          <w:sz w:val="40"/>
          <w:szCs w:val="32"/>
        </w:rPr>
        <w:t>2022年</w:t>
      </w:r>
      <w:r>
        <w:rPr>
          <w:rFonts w:eastAsia="黑体"/>
          <w:sz w:val="40"/>
          <w:szCs w:val="32"/>
        </w:rPr>
        <w:t>5</w:t>
      </w:r>
      <w:r>
        <w:rPr>
          <w:rFonts w:hint="eastAsia" w:eastAsia="黑体"/>
          <w:sz w:val="40"/>
          <w:szCs w:val="32"/>
        </w:rPr>
        <w:t>月</w:t>
      </w:r>
    </w:p>
    <w:p w14:paraId="0AB805E5">
      <w:pPr>
        <w:tabs>
          <w:tab w:val="right" w:leader="dot" w:pos="8296"/>
        </w:tabs>
        <w:adjustRightInd/>
        <w:snapToGrid/>
        <w:spacing w:before="312" w:beforeLines="100" w:after="720" w:line="240" w:lineRule="auto"/>
        <w:ind w:firstLine="0" w:firstLineChars="0"/>
        <w:jc w:val="center"/>
        <w:rPr>
          <w:b/>
          <w:sz w:val="48"/>
          <w:szCs w:val="48"/>
        </w:rPr>
      </w:pPr>
      <w:r>
        <w:rPr>
          <w:b/>
          <w:sz w:val="48"/>
          <w:szCs w:val="48"/>
        </w:rPr>
        <w:t>目  录</w:t>
      </w:r>
    </w:p>
    <w:p w14:paraId="342C7C52">
      <w:pPr>
        <w:pStyle w:val="17"/>
        <w:tabs>
          <w:tab w:val="right" w:leader="dot" w:pos="9402"/>
        </w:tabs>
        <w:spacing w:before="156" w:line="360" w:lineRule="auto"/>
        <w:ind w:firstLine="56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"1-2" \h \z \u </w:instrText>
      </w:r>
      <w:r>
        <w:rPr>
          <w:rFonts w:ascii="Times New Roman" w:hAnsi="Times New Roman" w:cs="Times New Roman"/>
          <w:sz w:val="28"/>
          <w:szCs w:val="28"/>
        </w:rPr>
        <w:fldChar w:fldCharType="separate"/>
      </w:r>
      <w:r>
        <w:fldChar w:fldCharType="begin"/>
      </w:r>
      <w:r>
        <w:instrText xml:space="preserve"> HYPERLINK \l "_Toc103937253" </w:instrText>
      </w:r>
      <w:r>
        <w:fldChar w:fldCharType="separate"/>
      </w:r>
      <w:r>
        <w:rPr>
          <w:rFonts w:ascii="Times New Roman" w:hAnsi="Times New Roman" w:cs="Times New Roman"/>
          <w:sz w:val="28"/>
          <w:szCs w:val="28"/>
        </w:rPr>
        <w:t>序  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_Toc103937253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9D06DCD">
      <w:pPr>
        <w:pStyle w:val="17"/>
        <w:tabs>
          <w:tab w:val="right" w:leader="dot" w:pos="9402"/>
        </w:tabs>
        <w:spacing w:before="156" w:line="360" w:lineRule="auto"/>
        <w:ind w:firstLine="402"/>
        <w:rPr>
          <w:rFonts w:ascii="Times New Roman" w:hAnsi="Times New Roman" w:cs="Times New Roman"/>
          <w:sz w:val="28"/>
          <w:szCs w:val="28"/>
        </w:rPr>
      </w:pPr>
      <w:r>
        <w:fldChar w:fldCharType="begin"/>
      </w:r>
      <w:r>
        <w:instrText xml:space="preserve"> HYPERLINK \l "_Toc103937254" </w:instrText>
      </w:r>
      <w:r>
        <w:fldChar w:fldCharType="separate"/>
      </w:r>
      <w:r>
        <w:rPr>
          <w:rFonts w:ascii="Times New Roman" w:hAnsi="Times New Roman" w:cs="Times New Roman"/>
          <w:sz w:val="28"/>
          <w:szCs w:val="28"/>
        </w:rPr>
        <w:t>第一章 形势分析</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_Toc103937254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B8A66C6">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"_Toc103937255" </w:instrText>
      </w:r>
      <w:r>
        <w:fldChar w:fldCharType="separate"/>
      </w:r>
      <w:r>
        <w:rPr>
          <w:rStyle w:val="28"/>
          <w:rFonts w:ascii="Times New Roman" w:hAnsi="Times New Roman" w:cs="Times New Roman"/>
          <w:sz w:val="28"/>
          <w:szCs w:val="28"/>
        </w:rPr>
        <w:t>（一）“十三五”生态环境保护工作成效</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_Toc103937255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D756B2F">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"_Toc103937256" </w:instrText>
      </w:r>
      <w:r>
        <w:fldChar w:fldCharType="separate"/>
      </w:r>
      <w:r>
        <w:rPr>
          <w:rStyle w:val="28"/>
          <w:rFonts w:ascii="Times New Roman" w:hAnsi="Times New Roman" w:cs="Times New Roman"/>
          <w:sz w:val="28"/>
          <w:szCs w:val="28"/>
        </w:rPr>
        <w:t>（二）2021年生态环境保护工作成效</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_Toc103937256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359E09E">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"_Toc103937257" </w:instrText>
      </w:r>
      <w:r>
        <w:fldChar w:fldCharType="separate"/>
      </w:r>
      <w:r>
        <w:rPr>
          <w:rStyle w:val="28"/>
          <w:rFonts w:ascii="Times New Roman" w:hAnsi="Times New Roman" w:cs="Times New Roman"/>
          <w:sz w:val="28"/>
          <w:szCs w:val="28"/>
        </w:rPr>
        <w:t>（三）“十四五”生态环境面临的机遇和挑战</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_Toc103937257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ADDECEC">
      <w:pPr>
        <w:pStyle w:val="17"/>
        <w:tabs>
          <w:tab w:val="right" w:leader="dot" w:pos="9402"/>
        </w:tabs>
        <w:spacing w:before="156" w:line="360" w:lineRule="auto"/>
        <w:ind w:firstLine="402"/>
        <w:rPr>
          <w:rFonts w:ascii="Times New Roman" w:hAnsi="Times New Roman" w:cs="Times New Roman"/>
          <w:sz w:val="28"/>
          <w:szCs w:val="28"/>
        </w:rPr>
      </w:pPr>
      <w:r>
        <w:fldChar w:fldCharType="begin"/>
      </w:r>
      <w:r>
        <w:instrText xml:space="preserve"> HYPERLINK \l "_Toc103937258" </w:instrText>
      </w:r>
      <w:r>
        <w:fldChar w:fldCharType="separate"/>
      </w:r>
      <w:r>
        <w:rPr>
          <w:rFonts w:ascii="Times New Roman" w:hAnsi="Times New Roman" w:cs="Times New Roman"/>
          <w:sz w:val="28"/>
          <w:szCs w:val="28"/>
        </w:rPr>
        <w:t>第二章 指导思想、基本原则与主要目标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_Toc103937258 \h </w:instrText>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FAC0E83">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"_Toc103937259" </w:instrText>
      </w:r>
      <w:r>
        <w:fldChar w:fldCharType="separate"/>
      </w:r>
      <w:r>
        <w:rPr>
          <w:rStyle w:val="28"/>
          <w:rFonts w:ascii="Times New Roman" w:hAnsi="Times New Roman" w:cs="Times New Roman"/>
          <w:sz w:val="28"/>
          <w:szCs w:val="28"/>
        </w:rPr>
        <w:t>（一）指导思想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_Toc103937259 \h </w:instrText>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5A4E4BA">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"_Toc103937260" </w:instrText>
      </w:r>
      <w:r>
        <w:fldChar w:fldCharType="separate"/>
      </w:r>
      <w:r>
        <w:rPr>
          <w:rStyle w:val="28"/>
          <w:rFonts w:ascii="Times New Roman" w:hAnsi="Times New Roman" w:cs="Times New Roman"/>
          <w:sz w:val="28"/>
          <w:szCs w:val="28"/>
        </w:rPr>
        <w:t>（二）基本原则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_Toc103937260 \h </w:instrText>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46D69E6B">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"_Toc103937261" </w:instrText>
      </w:r>
      <w:r>
        <w:fldChar w:fldCharType="separate"/>
      </w:r>
      <w:r>
        <w:rPr>
          <w:rStyle w:val="28"/>
          <w:rFonts w:ascii="Times New Roman" w:hAnsi="Times New Roman" w:cs="Times New Roman"/>
          <w:sz w:val="28"/>
          <w:szCs w:val="28"/>
        </w:rPr>
        <w:t>（三）总体思路</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_Toc103937261 \h </w:instrText>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8F415F2">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"_Toc103937262" </w:instrText>
      </w:r>
      <w:r>
        <w:fldChar w:fldCharType="separate"/>
      </w:r>
      <w:r>
        <w:rPr>
          <w:rStyle w:val="28"/>
          <w:rFonts w:ascii="Times New Roman" w:hAnsi="Times New Roman" w:cs="Times New Roman"/>
          <w:sz w:val="28"/>
          <w:szCs w:val="28"/>
        </w:rPr>
        <w:t>（四）规划目标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_Toc103937262 \h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1A5F95C">
      <w:pPr>
        <w:pStyle w:val="17"/>
        <w:tabs>
          <w:tab w:val="right" w:leader="dot" w:pos="9402"/>
        </w:tabs>
        <w:spacing w:before="156" w:line="360" w:lineRule="auto"/>
        <w:ind w:firstLine="402"/>
        <w:rPr>
          <w:rFonts w:ascii="Times New Roman" w:hAnsi="Times New Roman" w:cs="Times New Roman"/>
          <w:sz w:val="28"/>
          <w:szCs w:val="28"/>
        </w:rPr>
      </w:pPr>
      <w:r>
        <w:fldChar w:fldCharType="begin"/>
      </w:r>
      <w:r>
        <w:instrText xml:space="preserve"> HYPERLINK \l "_Toc103937263" </w:instrText>
      </w:r>
      <w:r>
        <w:fldChar w:fldCharType="separate"/>
      </w:r>
      <w:r>
        <w:rPr>
          <w:rFonts w:ascii="Times New Roman" w:hAnsi="Times New Roman" w:cs="Times New Roman"/>
          <w:sz w:val="28"/>
          <w:szCs w:val="28"/>
        </w:rPr>
        <w:t>第三章 重点领域与主要任务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_Toc103937263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C9E6750">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"_Toc103937264" </w:instrText>
      </w:r>
      <w:r>
        <w:fldChar w:fldCharType="separate"/>
      </w:r>
      <w:r>
        <w:rPr>
          <w:rStyle w:val="28"/>
          <w:rFonts w:ascii="Times New Roman" w:hAnsi="Times New Roman" w:cs="Times New Roman"/>
          <w:sz w:val="28"/>
          <w:szCs w:val="28"/>
        </w:rPr>
        <w:t>（一）优化产业结构，构建绿色循环低碳经济</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_Toc103937264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E8BE9F0">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"_Toc103937265" </w:instrText>
      </w:r>
      <w:r>
        <w:fldChar w:fldCharType="separate"/>
      </w:r>
      <w:r>
        <w:rPr>
          <w:rStyle w:val="28"/>
          <w:rFonts w:ascii="Times New Roman" w:hAnsi="Times New Roman" w:cs="Times New Roman"/>
          <w:sz w:val="28"/>
          <w:szCs w:val="28"/>
        </w:rPr>
        <w:t>（二）应对气候变化，巩固蓝天保卫战成果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_Toc103937265 \h </w:instrText>
      </w:r>
      <w:r>
        <w:rPr>
          <w:rFonts w:ascii="Times New Roman" w:hAnsi="Times New Roman" w:cs="Times New Roman"/>
          <w:sz w:val="28"/>
          <w:szCs w:val="28"/>
        </w:rPr>
        <w:fldChar w:fldCharType="separate"/>
      </w:r>
      <w:r>
        <w:rPr>
          <w:rFonts w:ascii="Times New Roman" w:hAnsi="Times New Roman" w:cs="Times New Roman"/>
          <w:sz w:val="28"/>
          <w:szCs w:val="28"/>
        </w:rPr>
        <w:t>23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921379C">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"_Toc103937266" </w:instrText>
      </w:r>
      <w:r>
        <w:fldChar w:fldCharType="separate"/>
      </w:r>
      <w:r>
        <w:rPr>
          <w:rStyle w:val="28"/>
          <w:rFonts w:ascii="Times New Roman" w:hAnsi="Times New Roman" w:cs="Times New Roman"/>
          <w:sz w:val="28"/>
          <w:szCs w:val="28"/>
        </w:rPr>
        <w:t>（三）坚持三水统筹，打造“美丽河湖”</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_Toc103937266 \h </w:instrText>
      </w:r>
      <w:r>
        <w:rPr>
          <w:rFonts w:ascii="Times New Roman" w:hAnsi="Times New Roman" w:cs="Times New Roman"/>
          <w:sz w:val="28"/>
          <w:szCs w:val="28"/>
        </w:rPr>
        <w:fldChar w:fldCharType="separate"/>
      </w:r>
      <w:r>
        <w:rPr>
          <w:rFonts w:ascii="Times New Roman" w:hAnsi="Times New Roman" w:cs="Times New Roman"/>
          <w:sz w:val="28"/>
          <w:szCs w:val="28"/>
        </w:rPr>
        <w:t>28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3040546">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"_Toc103937267" </w:instrText>
      </w:r>
      <w:r>
        <w:fldChar w:fldCharType="separate"/>
      </w:r>
      <w:r>
        <w:rPr>
          <w:rStyle w:val="28"/>
          <w:rFonts w:ascii="Times New Roman" w:hAnsi="Times New Roman" w:cs="Times New Roman"/>
          <w:sz w:val="28"/>
          <w:szCs w:val="28"/>
        </w:rPr>
        <w:t>（四）加强修复防控，保障土壤及地下水安全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_Toc103937267 \h </w:instrText>
      </w:r>
      <w:r>
        <w:rPr>
          <w:rFonts w:ascii="Times New Roman" w:hAnsi="Times New Roman" w:cs="Times New Roman"/>
          <w:sz w:val="28"/>
          <w:szCs w:val="28"/>
        </w:rPr>
        <w:fldChar w:fldCharType="separate"/>
      </w:r>
      <w:r>
        <w:rPr>
          <w:rFonts w:ascii="Times New Roman" w:hAnsi="Times New Roman" w:cs="Times New Roman"/>
          <w:sz w:val="28"/>
          <w:szCs w:val="28"/>
        </w:rPr>
        <w:t>33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86E0F06">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"_Toc103937268" </w:instrText>
      </w:r>
      <w:r>
        <w:fldChar w:fldCharType="separate"/>
      </w:r>
      <w:r>
        <w:rPr>
          <w:rStyle w:val="28"/>
          <w:rFonts w:ascii="Times New Roman" w:hAnsi="Times New Roman" w:cs="Times New Roman"/>
          <w:sz w:val="28"/>
          <w:szCs w:val="28"/>
        </w:rPr>
        <w:t>（五）加强源头控制，推进噪声污染分类防治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_Toc103937268 \h </w:instrText>
      </w:r>
      <w:r>
        <w:rPr>
          <w:rFonts w:ascii="Times New Roman" w:hAnsi="Times New Roman" w:cs="Times New Roman"/>
          <w:sz w:val="28"/>
          <w:szCs w:val="28"/>
        </w:rPr>
        <w:fldChar w:fldCharType="separate"/>
      </w:r>
      <w:r>
        <w:rPr>
          <w:rFonts w:ascii="Times New Roman" w:hAnsi="Times New Roman" w:cs="Times New Roman"/>
          <w:sz w:val="28"/>
          <w:szCs w:val="28"/>
        </w:rPr>
        <w:t>36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42FDE86E">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"_Toc103937269" </w:instrText>
      </w:r>
      <w:r>
        <w:fldChar w:fldCharType="separate"/>
      </w:r>
      <w:r>
        <w:rPr>
          <w:rStyle w:val="28"/>
          <w:rFonts w:ascii="Times New Roman" w:hAnsi="Times New Roman" w:cs="Times New Roman"/>
          <w:sz w:val="28"/>
          <w:szCs w:val="28"/>
        </w:rPr>
        <w:t>（六）完善设施建设，加强固废污染防治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_Toc103937269 \h </w:instrText>
      </w:r>
      <w:r>
        <w:rPr>
          <w:rFonts w:ascii="Times New Roman" w:hAnsi="Times New Roman" w:cs="Times New Roman"/>
          <w:sz w:val="28"/>
          <w:szCs w:val="28"/>
        </w:rPr>
        <w:fldChar w:fldCharType="separate"/>
      </w:r>
      <w:r>
        <w:rPr>
          <w:rFonts w:ascii="Times New Roman" w:hAnsi="Times New Roman" w:cs="Times New Roman"/>
          <w:sz w:val="28"/>
          <w:szCs w:val="28"/>
        </w:rPr>
        <w:t>38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3BD3CD6">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"_Toc103937270" </w:instrText>
      </w:r>
      <w:r>
        <w:fldChar w:fldCharType="separate"/>
      </w:r>
      <w:r>
        <w:rPr>
          <w:rStyle w:val="28"/>
          <w:rFonts w:ascii="Times New Roman" w:hAnsi="Times New Roman" w:cs="Times New Roman"/>
          <w:sz w:val="28"/>
          <w:szCs w:val="28"/>
        </w:rPr>
        <w:t>（七）推动乡村生态振兴，打造“美丽乡村”</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_Toc103937270 \h </w:instrText>
      </w:r>
      <w:r>
        <w:rPr>
          <w:rFonts w:ascii="Times New Roman" w:hAnsi="Times New Roman" w:cs="Times New Roman"/>
          <w:sz w:val="28"/>
          <w:szCs w:val="28"/>
        </w:rPr>
        <w:fldChar w:fldCharType="separate"/>
      </w:r>
      <w:r>
        <w:rPr>
          <w:rFonts w:ascii="Times New Roman" w:hAnsi="Times New Roman" w:cs="Times New Roman"/>
          <w:sz w:val="28"/>
          <w:szCs w:val="28"/>
        </w:rPr>
        <w:t>40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DBBE65D">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"_Toc103937271" </w:instrText>
      </w:r>
      <w:r>
        <w:fldChar w:fldCharType="separate"/>
      </w:r>
      <w:r>
        <w:rPr>
          <w:rStyle w:val="28"/>
          <w:rFonts w:ascii="Times New Roman" w:hAnsi="Times New Roman" w:cs="Times New Roman"/>
          <w:sz w:val="28"/>
          <w:szCs w:val="28"/>
        </w:rPr>
        <w:t>（八）优化生态空间，强化生态系统修复治理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_Toc103937271 \h </w:instrText>
      </w:r>
      <w:r>
        <w:rPr>
          <w:rFonts w:ascii="Times New Roman" w:hAnsi="Times New Roman" w:cs="Times New Roman"/>
          <w:sz w:val="28"/>
          <w:szCs w:val="28"/>
        </w:rPr>
        <w:fldChar w:fldCharType="separate"/>
      </w:r>
      <w:r>
        <w:rPr>
          <w:rFonts w:ascii="Times New Roman" w:hAnsi="Times New Roman" w:cs="Times New Roman"/>
          <w:sz w:val="28"/>
          <w:szCs w:val="28"/>
        </w:rPr>
        <w:t>44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B256732">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"_Toc103937272" </w:instrText>
      </w:r>
      <w:r>
        <w:fldChar w:fldCharType="separate"/>
      </w:r>
      <w:r>
        <w:rPr>
          <w:rStyle w:val="28"/>
          <w:rFonts w:ascii="Times New Roman" w:hAnsi="Times New Roman" w:cs="Times New Roman"/>
          <w:sz w:val="28"/>
          <w:szCs w:val="28"/>
        </w:rPr>
        <w:t>（九）强化风险防控，严守生态环境安全底线</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_Toc103937272 \h </w:instrText>
      </w:r>
      <w:r>
        <w:rPr>
          <w:rFonts w:ascii="Times New Roman" w:hAnsi="Times New Roman" w:cs="Times New Roman"/>
          <w:sz w:val="28"/>
          <w:szCs w:val="28"/>
        </w:rPr>
        <w:fldChar w:fldCharType="separate"/>
      </w:r>
      <w:r>
        <w:rPr>
          <w:rFonts w:ascii="Times New Roman" w:hAnsi="Times New Roman" w:cs="Times New Roman"/>
          <w:sz w:val="28"/>
          <w:szCs w:val="28"/>
        </w:rPr>
        <w:t>47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897E05C">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"_Toc103937273" </w:instrText>
      </w:r>
      <w:r>
        <w:fldChar w:fldCharType="separate"/>
      </w:r>
      <w:r>
        <w:rPr>
          <w:rStyle w:val="28"/>
          <w:rFonts w:ascii="Times New Roman" w:hAnsi="Times New Roman" w:cs="Times New Roman"/>
          <w:sz w:val="28"/>
          <w:szCs w:val="28"/>
        </w:rPr>
        <w:t>（十）完善生态制度，构建现代环境治理体系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_Toc103937273 \h </w:instrText>
      </w:r>
      <w:r>
        <w:rPr>
          <w:rFonts w:ascii="Times New Roman" w:hAnsi="Times New Roman" w:cs="Times New Roman"/>
          <w:sz w:val="28"/>
          <w:szCs w:val="28"/>
        </w:rPr>
        <w:fldChar w:fldCharType="separate"/>
      </w:r>
      <w:r>
        <w:rPr>
          <w:rFonts w:ascii="Times New Roman" w:hAnsi="Times New Roman" w:cs="Times New Roman"/>
          <w:sz w:val="28"/>
          <w:szCs w:val="28"/>
        </w:rPr>
        <w:t>50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12AD1B8">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"_Toc103937274" </w:instrText>
      </w:r>
      <w:r>
        <w:fldChar w:fldCharType="separate"/>
      </w:r>
      <w:r>
        <w:rPr>
          <w:rStyle w:val="28"/>
          <w:rFonts w:ascii="Times New Roman" w:hAnsi="Times New Roman" w:cs="Times New Roman"/>
          <w:sz w:val="28"/>
          <w:szCs w:val="28"/>
        </w:rPr>
        <w:t>（十一）利用生态环境大数据，助力环境管理转型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_Toc103937274 \h </w:instrText>
      </w:r>
      <w:r>
        <w:rPr>
          <w:rFonts w:ascii="Times New Roman" w:hAnsi="Times New Roman" w:cs="Times New Roman"/>
          <w:sz w:val="28"/>
          <w:szCs w:val="28"/>
        </w:rPr>
        <w:fldChar w:fldCharType="separate"/>
      </w:r>
      <w:r>
        <w:rPr>
          <w:rFonts w:ascii="Times New Roman" w:hAnsi="Times New Roman" w:cs="Times New Roman"/>
          <w:sz w:val="28"/>
          <w:szCs w:val="28"/>
        </w:rPr>
        <w:t>55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271C5C5">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"_Toc103937275" </w:instrText>
      </w:r>
      <w:r>
        <w:fldChar w:fldCharType="separate"/>
      </w:r>
      <w:r>
        <w:rPr>
          <w:rStyle w:val="28"/>
          <w:rFonts w:ascii="Times New Roman" w:hAnsi="Times New Roman" w:cs="Times New Roman"/>
          <w:sz w:val="28"/>
          <w:szCs w:val="28"/>
        </w:rPr>
        <w:t>（十二）规划重点工程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_Toc103937275 \h </w:instrText>
      </w:r>
      <w:r>
        <w:rPr>
          <w:rFonts w:ascii="Times New Roman" w:hAnsi="Times New Roman" w:cs="Times New Roman"/>
          <w:sz w:val="28"/>
          <w:szCs w:val="28"/>
        </w:rPr>
        <w:fldChar w:fldCharType="separate"/>
      </w:r>
      <w:r>
        <w:rPr>
          <w:rFonts w:ascii="Times New Roman" w:hAnsi="Times New Roman" w:cs="Times New Roman"/>
          <w:sz w:val="28"/>
          <w:szCs w:val="28"/>
        </w:rPr>
        <w:t>56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63E6091">
      <w:pPr>
        <w:pStyle w:val="17"/>
        <w:tabs>
          <w:tab w:val="right" w:leader="dot" w:pos="9402"/>
        </w:tabs>
        <w:spacing w:before="156" w:line="360" w:lineRule="auto"/>
        <w:ind w:firstLine="402"/>
        <w:rPr>
          <w:rFonts w:ascii="Times New Roman" w:hAnsi="Times New Roman" w:cs="Times New Roman"/>
          <w:sz w:val="28"/>
          <w:szCs w:val="28"/>
        </w:rPr>
      </w:pPr>
      <w:r>
        <w:fldChar w:fldCharType="begin"/>
      </w:r>
      <w:r>
        <w:instrText xml:space="preserve"> HYPERLINK \l "_Toc103937276" </w:instrText>
      </w:r>
      <w:r>
        <w:fldChar w:fldCharType="separate"/>
      </w:r>
      <w:r>
        <w:rPr>
          <w:rFonts w:ascii="Times New Roman" w:hAnsi="Times New Roman" w:cs="Times New Roman"/>
          <w:sz w:val="28"/>
          <w:szCs w:val="28"/>
        </w:rPr>
        <w:t>第四章 保障措施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_Toc103937276 \h </w:instrText>
      </w:r>
      <w:r>
        <w:rPr>
          <w:rFonts w:ascii="Times New Roman" w:hAnsi="Times New Roman" w:cs="Times New Roman"/>
          <w:sz w:val="28"/>
          <w:szCs w:val="28"/>
        </w:rPr>
        <w:fldChar w:fldCharType="separate"/>
      </w:r>
      <w:r>
        <w:rPr>
          <w:rFonts w:ascii="Times New Roman" w:hAnsi="Times New Roman" w:cs="Times New Roman"/>
          <w:sz w:val="28"/>
          <w:szCs w:val="28"/>
        </w:rPr>
        <w:t>57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AF9A502">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"_Toc103937277" </w:instrText>
      </w:r>
      <w:r>
        <w:fldChar w:fldCharType="separate"/>
      </w:r>
      <w:r>
        <w:rPr>
          <w:rStyle w:val="28"/>
          <w:rFonts w:ascii="Times New Roman" w:hAnsi="Times New Roman" w:cs="Times New Roman"/>
          <w:sz w:val="28"/>
          <w:szCs w:val="28"/>
        </w:rPr>
        <w:t>（一）强化组织统领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_Toc103937277 \h </w:instrText>
      </w:r>
      <w:r>
        <w:rPr>
          <w:rFonts w:ascii="Times New Roman" w:hAnsi="Times New Roman" w:cs="Times New Roman"/>
          <w:sz w:val="28"/>
          <w:szCs w:val="28"/>
        </w:rPr>
        <w:fldChar w:fldCharType="separate"/>
      </w:r>
      <w:r>
        <w:rPr>
          <w:rFonts w:ascii="Times New Roman" w:hAnsi="Times New Roman" w:cs="Times New Roman"/>
          <w:sz w:val="28"/>
          <w:szCs w:val="28"/>
        </w:rPr>
        <w:t>57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6BE20C6">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"_Toc103937278" </w:instrText>
      </w:r>
      <w:r>
        <w:fldChar w:fldCharType="separate"/>
      </w:r>
      <w:r>
        <w:rPr>
          <w:rStyle w:val="28"/>
          <w:rFonts w:ascii="Times New Roman" w:hAnsi="Times New Roman" w:cs="Times New Roman"/>
          <w:sz w:val="28"/>
          <w:szCs w:val="28"/>
        </w:rPr>
        <w:t>（二）完善制度体系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_Toc103937278 \h </w:instrText>
      </w:r>
      <w:r>
        <w:rPr>
          <w:rFonts w:ascii="Times New Roman" w:hAnsi="Times New Roman" w:cs="Times New Roman"/>
          <w:sz w:val="28"/>
          <w:szCs w:val="28"/>
        </w:rPr>
        <w:fldChar w:fldCharType="separate"/>
      </w:r>
      <w:r>
        <w:rPr>
          <w:rFonts w:ascii="Times New Roman" w:hAnsi="Times New Roman" w:cs="Times New Roman"/>
          <w:sz w:val="28"/>
          <w:szCs w:val="28"/>
        </w:rPr>
        <w:t>57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C962E83">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"_Toc103937279" </w:instrText>
      </w:r>
      <w:r>
        <w:fldChar w:fldCharType="separate"/>
      </w:r>
      <w:r>
        <w:rPr>
          <w:rStyle w:val="28"/>
          <w:rFonts w:ascii="Times New Roman" w:hAnsi="Times New Roman" w:cs="Times New Roman"/>
          <w:sz w:val="28"/>
          <w:szCs w:val="28"/>
        </w:rPr>
        <w:t>（三）严格考核评估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_Toc103937279 \h </w:instrText>
      </w:r>
      <w:r>
        <w:rPr>
          <w:rFonts w:ascii="Times New Roman" w:hAnsi="Times New Roman" w:cs="Times New Roman"/>
          <w:sz w:val="28"/>
          <w:szCs w:val="28"/>
        </w:rPr>
        <w:fldChar w:fldCharType="separate"/>
      </w:r>
      <w:r>
        <w:rPr>
          <w:rFonts w:ascii="Times New Roman" w:hAnsi="Times New Roman" w:cs="Times New Roman"/>
          <w:sz w:val="28"/>
          <w:szCs w:val="28"/>
        </w:rPr>
        <w:t>58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0DA0F3F">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"_Toc103937280" </w:instrText>
      </w:r>
      <w:r>
        <w:fldChar w:fldCharType="separate"/>
      </w:r>
      <w:r>
        <w:rPr>
          <w:rStyle w:val="28"/>
          <w:rFonts w:ascii="Times New Roman" w:hAnsi="Times New Roman" w:cs="Times New Roman"/>
          <w:sz w:val="28"/>
          <w:szCs w:val="28"/>
        </w:rPr>
        <w:t>（四）加大资金投入</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_Toc103937280 \h </w:instrText>
      </w:r>
      <w:r>
        <w:rPr>
          <w:rFonts w:ascii="Times New Roman" w:hAnsi="Times New Roman" w:cs="Times New Roman"/>
          <w:sz w:val="28"/>
          <w:szCs w:val="28"/>
        </w:rPr>
        <w:fldChar w:fldCharType="separate"/>
      </w:r>
      <w:r>
        <w:rPr>
          <w:rFonts w:ascii="Times New Roman" w:hAnsi="Times New Roman" w:cs="Times New Roman"/>
          <w:sz w:val="28"/>
          <w:szCs w:val="28"/>
        </w:rPr>
        <w:t>58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318E48E">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"_Toc103937281" </w:instrText>
      </w:r>
      <w:r>
        <w:fldChar w:fldCharType="separate"/>
      </w:r>
      <w:r>
        <w:rPr>
          <w:rStyle w:val="28"/>
          <w:rFonts w:ascii="Times New Roman" w:hAnsi="Times New Roman" w:cs="Times New Roman"/>
          <w:sz w:val="28"/>
          <w:szCs w:val="28"/>
        </w:rPr>
        <w:t>（五）强化科技支撑</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_Toc103937281 \h </w:instrText>
      </w:r>
      <w:r>
        <w:rPr>
          <w:rFonts w:ascii="Times New Roman" w:hAnsi="Times New Roman" w:cs="Times New Roman"/>
          <w:sz w:val="28"/>
          <w:szCs w:val="28"/>
        </w:rPr>
        <w:fldChar w:fldCharType="separate"/>
      </w:r>
      <w:r>
        <w:rPr>
          <w:rFonts w:ascii="Times New Roman" w:hAnsi="Times New Roman" w:cs="Times New Roman"/>
          <w:sz w:val="28"/>
          <w:szCs w:val="28"/>
        </w:rPr>
        <w:t>59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8279EB1">
      <w:pPr>
        <w:pStyle w:val="20"/>
        <w:tabs>
          <w:tab w:val="right" w:leader="dot" w:pos="9402"/>
        </w:tabs>
        <w:spacing w:line="360" w:lineRule="auto"/>
        <w:ind w:firstLine="400"/>
        <w:rPr>
          <w:rFonts w:ascii="Times New Roman" w:hAnsi="Times New Roman" w:cs="Times New Roman"/>
          <w:smallCaps w:val="0"/>
          <w:sz w:val="28"/>
          <w:szCs w:val="28"/>
        </w:rPr>
      </w:pPr>
      <w:r>
        <w:fldChar w:fldCharType="begin"/>
      </w:r>
      <w:r>
        <w:instrText xml:space="preserve"> HYPERLINK \l "_Toc103937282" </w:instrText>
      </w:r>
      <w:r>
        <w:fldChar w:fldCharType="separate"/>
      </w:r>
      <w:r>
        <w:rPr>
          <w:rStyle w:val="28"/>
          <w:rFonts w:ascii="Times New Roman" w:hAnsi="Times New Roman" w:cs="Times New Roman"/>
          <w:sz w:val="28"/>
          <w:szCs w:val="28"/>
        </w:rPr>
        <w:t>（六）引导全民参与</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_Toc103937282 \h </w:instrText>
      </w:r>
      <w:r>
        <w:rPr>
          <w:rFonts w:ascii="Times New Roman" w:hAnsi="Times New Roman" w:cs="Times New Roman"/>
          <w:sz w:val="28"/>
          <w:szCs w:val="28"/>
        </w:rPr>
        <w:fldChar w:fldCharType="separate"/>
      </w:r>
      <w:r>
        <w:rPr>
          <w:rFonts w:ascii="Times New Roman" w:hAnsi="Times New Roman" w:cs="Times New Roman"/>
          <w:sz w:val="28"/>
          <w:szCs w:val="28"/>
        </w:rPr>
        <w:t>59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A5B9CEB">
      <w:pPr>
        <w:pStyle w:val="17"/>
        <w:tabs>
          <w:tab w:val="right" w:leader="dot" w:pos="9402"/>
        </w:tabs>
        <w:spacing w:line="360" w:lineRule="auto"/>
        <w:ind w:firstLine="402"/>
        <w:rPr>
          <w:rFonts w:ascii="Times New Roman" w:hAnsi="Times New Roman" w:cs="Times New Roman"/>
          <w:b w:val="0"/>
          <w:bCs w:val="0"/>
          <w:caps w:val="0"/>
          <w:sz w:val="28"/>
          <w:szCs w:val="28"/>
        </w:rPr>
      </w:pPr>
      <w:r>
        <w:fldChar w:fldCharType="begin"/>
      </w:r>
      <w:r>
        <w:instrText xml:space="preserve"> HYPERLINK \l "_Toc103937285" </w:instrText>
      </w:r>
      <w:r>
        <w:fldChar w:fldCharType="separate"/>
      </w:r>
      <w:r>
        <w:rPr>
          <w:rStyle w:val="28"/>
          <w:rFonts w:ascii="Times New Roman" w:hAnsi="Times New Roman" w:cs="Times New Roman"/>
          <w:sz w:val="28"/>
          <w:szCs w:val="28"/>
        </w:rPr>
        <w:t>附件</w:t>
      </w:r>
      <w:r>
        <w:rPr>
          <w:rStyle w:val="28"/>
          <w:rFonts w:ascii="Times New Roman" w:hAnsi="Times New Roman" w:cs="Times New Roman"/>
          <w:sz w:val="28"/>
          <w:szCs w:val="28"/>
        </w:rPr>
        <w:fldChar w:fldCharType="end"/>
      </w:r>
      <w:r>
        <w:rPr>
          <w:rStyle w:val="28"/>
          <w:rFonts w:ascii="Times New Roman" w:hAnsi="Times New Roman" w:cs="Times New Roman"/>
          <w:sz w:val="28"/>
          <w:szCs w:val="28"/>
          <w:u w:val="none"/>
        </w:rPr>
        <w:t xml:space="preserve"> </w:t>
      </w:r>
      <w:r>
        <w:fldChar w:fldCharType="begin"/>
      </w:r>
      <w:r>
        <w:instrText xml:space="preserve"> HYPERLINK \l "_Toc103937286" </w:instrText>
      </w:r>
      <w:r>
        <w:fldChar w:fldCharType="separate"/>
      </w:r>
      <w:r>
        <w:rPr>
          <w:rStyle w:val="28"/>
          <w:rFonts w:ascii="Times New Roman" w:hAnsi="Times New Roman" w:cs="Times New Roman"/>
          <w:sz w:val="28"/>
          <w:szCs w:val="28"/>
        </w:rPr>
        <w:t>闽侯县“十四五”生态环境保护规划名词解释</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_Toc103937286 \h </w:instrText>
      </w:r>
      <w:r>
        <w:rPr>
          <w:rFonts w:ascii="Times New Roman" w:hAnsi="Times New Roman" w:cs="Times New Roman"/>
          <w:sz w:val="28"/>
          <w:szCs w:val="28"/>
        </w:rPr>
        <w:fldChar w:fldCharType="separate"/>
      </w:r>
      <w:r>
        <w:rPr>
          <w:rFonts w:ascii="Times New Roman" w:hAnsi="Times New Roman" w:cs="Times New Roman"/>
          <w:sz w:val="28"/>
          <w:szCs w:val="28"/>
        </w:rPr>
        <w:t>61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E009324">
      <w:pPr>
        <w:pStyle w:val="2"/>
        <w:spacing w:line="360" w:lineRule="auto"/>
        <w:ind w:firstLine="560"/>
        <w:rPr>
          <w:bCs/>
          <w:szCs w:val="30"/>
        </w:rPr>
      </w:pPr>
      <w:r>
        <w:rPr>
          <w:rFonts w:ascii="Times New Roman" w:hAnsi="Times New Roman" w:cs="Times New Roman"/>
          <w:sz w:val="28"/>
          <w:szCs w:val="28"/>
        </w:rPr>
        <w:fldChar w:fldCharType="end"/>
      </w:r>
    </w:p>
    <w:p w14:paraId="236FA9C7">
      <w:pPr>
        <w:widowControl/>
        <w:adjustRightInd/>
        <w:snapToGrid/>
        <w:spacing w:line="360" w:lineRule="auto"/>
        <w:ind w:firstLine="0" w:firstLineChars="0"/>
        <w:jc w:val="left"/>
        <w:rPr>
          <w:bCs/>
          <w:szCs w:val="30"/>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247" w:bottom="1134" w:left="1247" w:header="851" w:footer="992" w:gutter="0"/>
          <w:pgNumType w:start="1"/>
          <w:cols w:space="425" w:num="1"/>
          <w:docGrid w:type="lines" w:linePitch="312" w:charSpace="0"/>
        </w:sectPr>
      </w:pPr>
    </w:p>
    <w:p w14:paraId="20D4FDE5">
      <w:pPr>
        <w:pStyle w:val="6"/>
        <w:spacing w:before="480" w:after="360" w:line="360" w:lineRule="auto"/>
        <w:ind w:firstLine="0" w:firstLineChars="0"/>
        <w:jc w:val="center"/>
        <w:rPr>
          <w:rFonts w:ascii="黑体" w:hAnsi="黑体" w:eastAsia="黑体"/>
        </w:rPr>
      </w:pPr>
      <w:bookmarkStart w:id="3" w:name="_Toc103937253"/>
      <w:bookmarkStart w:id="4" w:name="_Toc103936995"/>
      <w:r>
        <w:rPr>
          <w:rFonts w:ascii="黑体" w:hAnsi="黑体" w:eastAsia="黑体"/>
        </w:rPr>
        <w:t>序</w:t>
      </w:r>
      <w:r>
        <w:rPr>
          <w:rFonts w:hint="eastAsia" w:ascii="黑体" w:hAnsi="黑体" w:eastAsia="黑体"/>
        </w:rPr>
        <w:t xml:space="preserve">  </w:t>
      </w:r>
      <w:r>
        <w:rPr>
          <w:rFonts w:ascii="黑体" w:hAnsi="黑体" w:eastAsia="黑体"/>
        </w:rPr>
        <w:t>言</w:t>
      </w:r>
      <w:bookmarkEnd w:id="3"/>
      <w:bookmarkEnd w:id="4"/>
    </w:p>
    <w:p w14:paraId="1833BABA">
      <w:pPr>
        <w:spacing w:line="600" w:lineRule="exact"/>
        <w:ind w:firstLine="640"/>
        <w:rPr>
          <w:rFonts w:ascii="仿宋" w:hAnsi="仿宋" w:eastAsia="仿宋"/>
          <w:szCs w:val="32"/>
        </w:rPr>
      </w:pPr>
      <w:r>
        <w:rPr>
          <w:rFonts w:hint="eastAsia" w:ascii="仿宋" w:hAnsi="仿宋" w:eastAsia="仿宋"/>
          <w:szCs w:val="32"/>
        </w:rPr>
        <w:t>党的十九大报告将生态文明建设提升到前所未有的高度，明确提出要加快生态文明体制改革，建设美丽中国，要把我国建成富强民主文明和谐美丽的社会主义现代化强国。“十四五”时期是我国全面建成小康社会、实现第一个百年奋斗目标之后，乘势而上开启全面建设社会主义现代化国家新征程、向第二个百年奋斗目标进军的第一个五年，是福建省处于全方位推动高质量发展超越的关键期，也是闽侯县落实贯彻市委、市政府“3820”战略工程思想精髓的关键时期。</w:t>
      </w:r>
    </w:p>
    <w:p w14:paraId="3283DF79">
      <w:pPr>
        <w:spacing w:line="600" w:lineRule="exact"/>
        <w:ind w:firstLine="640"/>
        <w:rPr>
          <w:rFonts w:ascii="仿宋" w:hAnsi="仿宋" w:eastAsia="仿宋"/>
          <w:szCs w:val="32"/>
        </w:rPr>
      </w:pPr>
      <w:r>
        <w:rPr>
          <w:rFonts w:hint="eastAsia" w:ascii="仿宋" w:hAnsi="仿宋" w:eastAsia="仿宋"/>
          <w:szCs w:val="32"/>
        </w:rPr>
        <w:t>为了认真贯彻习近平生态文明思想，牢固树立习近平总书记“绿水青山就是金山银山</w:t>
      </w:r>
      <w:r>
        <w:rPr>
          <w:rFonts w:ascii="仿宋" w:hAnsi="仿宋" w:eastAsia="仿宋"/>
          <w:szCs w:val="32"/>
        </w:rPr>
        <w:t>”</w:t>
      </w:r>
      <w:r>
        <w:rPr>
          <w:rFonts w:hint="eastAsia" w:ascii="仿宋" w:hAnsi="仿宋" w:eastAsia="仿宋"/>
          <w:szCs w:val="32"/>
        </w:rPr>
        <w:t>的发展理念，传承弘扬习近平总书记前往调研路上，对闽侯县祥谦镇五虎山提出的“尊重自然、顺应自然、保护自然”重要生态理念，积极统筹推进经济建设、政治建设、文化建设、社会建设、生态文明建设，加快闽侯县“科教名城、产业强城、宜居新城”的建设，全力打造“产城联动、创新高地、山水融合、文化彰显、宜居宜业”的新时代滨江新城，现制定本规划。</w:t>
      </w:r>
    </w:p>
    <w:p w14:paraId="21CA7F0F">
      <w:pPr>
        <w:spacing w:line="600" w:lineRule="exact"/>
        <w:ind w:firstLine="640"/>
        <w:rPr>
          <w:rFonts w:ascii="仿宋" w:hAnsi="仿宋" w:eastAsia="仿宋"/>
          <w:szCs w:val="32"/>
        </w:rPr>
      </w:pPr>
      <w:r>
        <w:rPr>
          <w:rFonts w:hint="eastAsia" w:ascii="仿宋" w:hAnsi="仿宋" w:eastAsia="仿宋"/>
          <w:szCs w:val="32"/>
        </w:rPr>
        <w:t>本规划紧扣全面</w:t>
      </w:r>
      <w:bookmarkStart w:id="5" w:name="_Hlk102864766"/>
      <w:r>
        <w:rPr>
          <w:rFonts w:hint="eastAsia" w:ascii="仿宋" w:hAnsi="仿宋" w:eastAsia="仿宋"/>
          <w:szCs w:val="32"/>
        </w:rPr>
        <w:t>建成新时代现代化滨江新城</w:t>
      </w:r>
      <w:bookmarkEnd w:id="5"/>
      <w:r>
        <w:rPr>
          <w:rFonts w:hint="eastAsia" w:ascii="仿宋" w:hAnsi="仿宋" w:eastAsia="仿宋"/>
          <w:szCs w:val="32"/>
        </w:rPr>
        <w:t>的总目标，以改善环境质量、维护生态安全为抓手，重点阐明“十四五”期间闽侯县生态环境保护的指导思想、总体思路、发展目标和主要任务，指导今后五年生态环境保护行动。</w:t>
      </w:r>
    </w:p>
    <w:p w14:paraId="5DB5FEE2">
      <w:pPr>
        <w:spacing w:line="600" w:lineRule="exact"/>
        <w:ind w:firstLine="640"/>
        <w:rPr>
          <w:rFonts w:ascii="仿宋" w:hAnsi="仿宋" w:eastAsia="仿宋"/>
          <w:szCs w:val="32"/>
        </w:rPr>
      </w:pPr>
      <w:r>
        <w:rPr>
          <w:rFonts w:hint="eastAsia" w:ascii="仿宋" w:hAnsi="仿宋" w:eastAsia="仿宋"/>
          <w:szCs w:val="32"/>
        </w:rPr>
        <w:t>本规划基准年为 2020 年，规划期为 2021</w:t>
      </w:r>
      <w:r>
        <w:rPr>
          <w:rFonts w:hint="eastAsia" w:ascii="宋体" w:hAnsi="宋体" w:eastAsia="宋体"/>
          <w:szCs w:val="32"/>
        </w:rPr>
        <w:t>～</w:t>
      </w:r>
      <w:r>
        <w:rPr>
          <w:rFonts w:hint="eastAsia" w:ascii="仿宋" w:hAnsi="仿宋" w:eastAsia="仿宋"/>
          <w:szCs w:val="32"/>
        </w:rPr>
        <w:t>2025 年。</w:t>
      </w:r>
    </w:p>
    <w:p w14:paraId="5DC5A0E9">
      <w:pPr>
        <w:widowControl/>
        <w:adjustRightInd/>
        <w:snapToGrid/>
        <w:spacing w:line="600" w:lineRule="exact"/>
        <w:ind w:firstLine="0" w:firstLineChars="0"/>
        <w:jc w:val="left"/>
        <w:rPr>
          <w:rFonts w:ascii="仿宋" w:hAnsi="仿宋" w:eastAsia="仿宋"/>
          <w:b/>
          <w:szCs w:val="32"/>
        </w:rPr>
        <w:sectPr>
          <w:headerReference r:id="rId17" w:type="default"/>
          <w:footerReference r:id="rId18" w:type="default"/>
          <w:pgSz w:w="11906" w:h="16838"/>
          <w:pgMar w:top="1418" w:right="1247" w:bottom="1134" w:left="1247" w:header="851" w:footer="992" w:gutter="0"/>
          <w:pgNumType w:start="1"/>
          <w:cols w:space="425" w:num="1"/>
          <w:docGrid w:type="lines" w:linePitch="312" w:charSpace="0"/>
        </w:sectPr>
      </w:pPr>
    </w:p>
    <w:p w14:paraId="69C1D9DC">
      <w:pPr>
        <w:pStyle w:val="6"/>
        <w:spacing w:before="600" w:after="600" w:line="600" w:lineRule="exact"/>
        <w:ind w:firstLine="0" w:firstLineChars="0"/>
        <w:jc w:val="center"/>
        <w:rPr>
          <w:rFonts w:ascii="黑体" w:hAnsi="黑体" w:eastAsia="黑体"/>
          <w:sz w:val="48"/>
          <w:szCs w:val="48"/>
        </w:rPr>
      </w:pPr>
      <w:bookmarkStart w:id="6" w:name="_Toc103936996"/>
      <w:bookmarkStart w:id="7" w:name="_Toc103937254"/>
      <w:r>
        <w:rPr>
          <w:rFonts w:hint="eastAsia" w:ascii="黑体" w:hAnsi="黑体" w:eastAsia="黑体"/>
          <w:sz w:val="48"/>
          <w:szCs w:val="48"/>
        </w:rPr>
        <w:t xml:space="preserve">第一章 </w:t>
      </w:r>
      <w:r>
        <w:rPr>
          <w:rFonts w:ascii="黑体" w:hAnsi="黑体" w:eastAsia="黑体"/>
          <w:sz w:val="48"/>
          <w:szCs w:val="48"/>
        </w:rPr>
        <w:t>形势分析</w:t>
      </w:r>
      <w:bookmarkEnd w:id="6"/>
      <w:bookmarkEnd w:id="7"/>
    </w:p>
    <w:p w14:paraId="52512D81">
      <w:pPr>
        <w:pStyle w:val="7"/>
        <w:spacing w:line="600" w:lineRule="exact"/>
        <w:ind w:firstLine="0" w:firstLineChars="0"/>
        <w:rPr>
          <w:rFonts w:ascii="黑体" w:hAnsi="黑体" w:eastAsia="黑体" w:cs="Times New Roman"/>
          <w:bCs w:val="0"/>
          <w:sz w:val="40"/>
          <w:szCs w:val="40"/>
        </w:rPr>
      </w:pPr>
      <w:bookmarkStart w:id="8" w:name="_Toc103937255"/>
      <w:bookmarkStart w:id="9" w:name="_Toc103936997"/>
      <w:r>
        <w:rPr>
          <w:rFonts w:ascii="黑体" w:hAnsi="黑体" w:eastAsia="黑体" w:cs="Times New Roman"/>
          <w:bCs w:val="0"/>
          <w:sz w:val="40"/>
          <w:szCs w:val="40"/>
        </w:rPr>
        <w:t>（一）</w:t>
      </w:r>
      <w:r>
        <w:rPr>
          <w:rFonts w:hint="eastAsia" w:ascii="黑体" w:hAnsi="黑体" w:eastAsia="黑体" w:cs="Times New Roman"/>
          <w:bCs w:val="0"/>
          <w:sz w:val="40"/>
          <w:szCs w:val="40"/>
        </w:rPr>
        <w:t>“十三五”生态环境保护工作成效</w:t>
      </w:r>
      <w:bookmarkEnd w:id="8"/>
      <w:bookmarkEnd w:id="9"/>
    </w:p>
    <w:p w14:paraId="2EA39233">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1.生态环境品质全面提升</w:t>
      </w:r>
    </w:p>
    <w:p w14:paraId="4E93407D">
      <w:pPr>
        <w:widowControl/>
        <w:ind w:firstLine="640"/>
        <w:jc w:val="left"/>
        <w:rPr>
          <w:bCs/>
          <w:szCs w:val="30"/>
        </w:rPr>
      </w:pPr>
      <w:r>
        <w:rPr>
          <w:rFonts w:hint="eastAsia" w:ascii="仿宋_GB2312" w:hAnsi="仿宋_GB2312" w:cs="仿宋_GB2312"/>
          <w:szCs w:val="30"/>
        </w:rPr>
        <w:t>2020</w:t>
      </w:r>
      <w:r>
        <w:rPr>
          <w:rFonts w:hint="eastAsia"/>
          <w:bCs/>
          <w:szCs w:val="30"/>
        </w:rPr>
        <w:t>年，闽侯县空气质量综合指数</w:t>
      </w:r>
      <w:r>
        <w:rPr>
          <w:rFonts w:ascii="仿宋_GB2312" w:hAnsi="仿宋_GB2312" w:cs="仿宋_GB2312"/>
          <w:szCs w:val="30"/>
        </w:rPr>
        <w:t>2.73</w:t>
      </w:r>
      <w:r>
        <w:rPr>
          <w:rFonts w:hint="eastAsia"/>
          <w:bCs/>
          <w:szCs w:val="30"/>
        </w:rPr>
        <w:t>，空气质量优良率</w:t>
      </w:r>
      <w:r>
        <w:rPr>
          <w:rFonts w:ascii="仿宋_GB2312" w:hAnsi="仿宋_GB2312" w:cs="仿宋_GB2312"/>
          <w:szCs w:val="30"/>
        </w:rPr>
        <w:t>99.7%</w:t>
      </w:r>
      <w:r>
        <w:rPr>
          <w:rFonts w:hint="eastAsia"/>
          <w:bCs/>
          <w:szCs w:val="30"/>
        </w:rPr>
        <w:t>，</w:t>
      </w:r>
      <w:r>
        <w:rPr>
          <w:rFonts w:ascii="仿宋_GB2312" w:hAnsi="仿宋_GB2312" w:cs="仿宋_GB2312"/>
          <w:szCs w:val="30"/>
        </w:rPr>
        <w:t>6</w:t>
      </w:r>
      <w:r>
        <w:rPr>
          <w:rFonts w:hint="eastAsia"/>
          <w:bCs/>
          <w:szCs w:val="30"/>
        </w:rPr>
        <w:t xml:space="preserve">项污染物指标均优于国家二级标准。从主要流域看，闽江流域干流优良水 </w:t>
      </w:r>
      <w:r>
        <w:rPr>
          <w:bCs/>
          <w:szCs w:val="30"/>
        </w:rPr>
        <w:t>Ⅰ</w:t>
      </w:r>
      <w:r>
        <w:rPr>
          <w:rFonts w:hint="eastAsia" w:ascii="宋体" w:hAnsi="宋体" w:eastAsia="宋体"/>
          <w:bCs/>
          <w:szCs w:val="30"/>
        </w:rPr>
        <w:t>～</w:t>
      </w:r>
      <w:r>
        <w:rPr>
          <w:bCs/>
          <w:szCs w:val="30"/>
        </w:rPr>
        <w:t xml:space="preserve">Ⅲ </w:t>
      </w:r>
      <w:r>
        <w:rPr>
          <w:rFonts w:hint="eastAsia"/>
          <w:bCs/>
          <w:szCs w:val="30"/>
        </w:rPr>
        <w:t xml:space="preserve">类比例均达 </w:t>
      </w:r>
      <w:r>
        <w:rPr>
          <w:rFonts w:ascii="仿宋_GB2312" w:hAnsi="仿宋_GB2312" w:cs="仿宋_GB2312"/>
          <w:szCs w:val="30"/>
        </w:rPr>
        <w:t>100%</w:t>
      </w:r>
      <w:r>
        <w:rPr>
          <w:rFonts w:hint="eastAsia"/>
          <w:bCs/>
          <w:szCs w:val="30"/>
        </w:rPr>
        <w:t>，省控小流域</w:t>
      </w:r>
      <w:r>
        <w:rPr>
          <w:bCs/>
          <w:szCs w:val="30"/>
        </w:rPr>
        <w:t>Ⅲ类以上水质比例达</w:t>
      </w:r>
      <w:r>
        <w:rPr>
          <w:rFonts w:ascii="仿宋_GB2312" w:hAnsi="仿宋_GB2312" w:cs="仿宋_GB2312"/>
          <w:szCs w:val="30"/>
        </w:rPr>
        <w:t>90.9%</w:t>
      </w:r>
      <w:r>
        <w:rPr>
          <w:rFonts w:hint="eastAsia"/>
          <w:bCs/>
          <w:szCs w:val="30"/>
        </w:rPr>
        <w:t>。市、县级集中饮用水水源地水质达标率均达</w:t>
      </w:r>
      <w:r>
        <w:rPr>
          <w:rFonts w:ascii="仿宋_GB2312" w:hAnsi="仿宋_GB2312" w:cs="仿宋_GB2312"/>
          <w:szCs w:val="30"/>
        </w:rPr>
        <w:t>100%</w:t>
      </w:r>
      <w:r>
        <w:rPr>
          <w:rFonts w:hint="eastAsia"/>
          <w:bCs/>
          <w:szCs w:val="30"/>
        </w:rPr>
        <w:t>。“绿色闽侯”建设有序推进，全县造林绿化及森林经营面积达到</w:t>
      </w:r>
      <w:r>
        <w:rPr>
          <w:rFonts w:ascii="仿宋_GB2312" w:hAnsi="仿宋_GB2312" w:cs="仿宋_GB2312"/>
          <w:szCs w:val="30"/>
        </w:rPr>
        <w:t>35.28</w:t>
      </w:r>
      <w:r>
        <w:rPr>
          <w:rFonts w:hint="eastAsia"/>
          <w:bCs/>
          <w:szCs w:val="30"/>
        </w:rPr>
        <w:t>万亩，森林覆盖率达</w:t>
      </w:r>
      <w:r>
        <w:rPr>
          <w:rFonts w:ascii="仿宋_GB2312" w:hAnsi="仿宋_GB2312" w:cs="仿宋_GB2312"/>
          <w:szCs w:val="30"/>
        </w:rPr>
        <w:t>61.53%</w:t>
      </w:r>
      <w:r>
        <w:rPr>
          <w:rFonts w:hint="eastAsia"/>
          <w:bCs/>
          <w:szCs w:val="30"/>
        </w:rPr>
        <w:t>。闽侯县“十三五”期间先后被环境保护部授予“国家级生态县”、国家绿化委授予“全国绿化模范县”荣誉称号。</w:t>
      </w:r>
    </w:p>
    <w:p w14:paraId="1F2ED5DB">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2.绿色发展水平不断提高</w:t>
      </w:r>
    </w:p>
    <w:p w14:paraId="71112453">
      <w:pPr>
        <w:spacing w:line="600" w:lineRule="exact"/>
        <w:ind w:firstLine="554" w:firstLineChars="0"/>
        <w:rPr>
          <w:bCs/>
          <w:szCs w:val="30"/>
        </w:rPr>
      </w:pPr>
      <w:r>
        <w:rPr>
          <w:rFonts w:hint="eastAsia"/>
          <w:bCs/>
          <w:szCs w:val="30"/>
        </w:rPr>
        <w:t>“十三五”期间，闽侯县在经济总量达到</w:t>
      </w:r>
      <w:r>
        <w:rPr>
          <w:rFonts w:ascii="仿宋_GB2312" w:hAnsi="仿宋_GB2312" w:cs="仿宋_GB2312"/>
          <w:szCs w:val="30"/>
        </w:rPr>
        <w:t>793.04</w:t>
      </w:r>
      <w:r>
        <w:rPr>
          <w:rFonts w:hint="eastAsia"/>
          <w:bCs/>
          <w:szCs w:val="30"/>
        </w:rPr>
        <w:t>亿元，与“十二五”末相比，增长超过80.75%，年均增长超过</w:t>
      </w:r>
      <w:bookmarkStart w:id="10" w:name="_Hlk102234652"/>
      <w:r>
        <w:rPr>
          <w:rFonts w:ascii="仿宋_GB2312" w:hAnsi="仿宋_GB2312" w:cs="仿宋_GB2312"/>
          <w:szCs w:val="30"/>
        </w:rPr>
        <w:t>8.06%</w:t>
      </w:r>
      <w:bookmarkEnd w:id="10"/>
      <w:r>
        <w:rPr>
          <w:rFonts w:hint="eastAsia"/>
          <w:bCs/>
          <w:szCs w:val="30"/>
        </w:rPr>
        <w:t>，超过全市平均</w:t>
      </w:r>
      <w:r>
        <w:rPr>
          <w:bCs/>
          <w:szCs w:val="30"/>
        </w:rPr>
        <w:t xml:space="preserve"> </w:t>
      </w:r>
      <w:r>
        <w:rPr>
          <w:rFonts w:ascii="仿宋_GB2312" w:hAnsi="仿宋_GB2312" w:cs="仿宋_GB2312"/>
          <w:szCs w:val="30"/>
        </w:rPr>
        <w:t>0.3</w:t>
      </w:r>
      <w:r>
        <w:rPr>
          <w:rFonts w:hint="eastAsia"/>
          <w:bCs/>
          <w:szCs w:val="30"/>
        </w:rPr>
        <w:t>个百分点的同时，生态环境质量保持高位运行，以生态环境高质量助力社会经济绿色发展。“十三五”期间，闽侯县万元</w:t>
      </w:r>
      <w:r>
        <w:rPr>
          <w:rFonts w:ascii="仿宋_GB2312" w:hAnsi="仿宋_GB2312" w:cs="仿宋_GB2312"/>
          <w:szCs w:val="30"/>
        </w:rPr>
        <w:t>GDP</w:t>
      </w:r>
      <w:r>
        <w:rPr>
          <w:rFonts w:hint="eastAsia"/>
          <w:bCs/>
          <w:szCs w:val="30"/>
        </w:rPr>
        <w:t>用水量、单位</w:t>
      </w:r>
      <w:bookmarkStart w:id="11" w:name="_Hlk102234619"/>
      <w:r>
        <w:rPr>
          <w:rFonts w:ascii="仿宋_GB2312" w:hAnsi="仿宋_GB2312" w:cs="仿宋_GB2312"/>
          <w:szCs w:val="30"/>
        </w:rPr>
        <w:t>GDP</w:t>
      </w:r>
      <w:bookmarkEnd w:id="11"/>
      <w:r>
        <w:rPr>
          <w:rFonts w:hint="eastAsia"/>
          <w:bCs/>
          <w:szCs w:val="30"/>
        </w:rPr>
        <w:t>能源消耗、非化石能源占一次性能源消费比重及单位</w:t>
      </w:r>
      <w:r>
        <w:rPr>
          <w:rFonts w:ascii="仿宋_GB2312" w:hAnsi="仿宋_GB2312" w:cs="仿宋_GB2312"/>
          <w:szCs w:val="30"/>
        </w:rPr>
        <w:t>GDP</w:t>
      </w:r>
      <w:r>
        <w:rPr>
          <w:rFonts w:hint="eastAsia"/>
          <w:bCs/>
          <w:szCs w:val="30"/>
        </w:rPr>
        <w:t>二氧化碳排放量均完成市级下达任务指标。细颗粒物等主要大气污染物排放总量逐年降低。完成“十三五”期间的减排任务要求。</w:t>
      </w:r>
      <w:r>
        <w:rPr>
          <w:rFonts w:ascii="仿宋_GB2312" w:hAnsi="仿宋_GB2312" w:cs="仿宋_GB2312"/>
          <w:szCs w:val="30"/>
        </w:rPr>
        <w:t>2020</w:t>
      </w:r>
      <w:r>
        <w:rPr>
          <w:rFonts w:hint="eastAsia"/>
          <w:bCs/>
          <w:szCs w:val="30"/>
        </w:rPr>
        <w:t>年空气优良天数比例达</w:t>
      </w:r>
      <w:r>
        <w:rPr>
          <w:rFonts w:ascii="仿宋_GB2312" w:hAnsi="仿宋_GB2312" w:cs="仿宋_GB2312"/>
          <w:szCs w:val="30"/>
        </w:rPr>
        <w:t>99.7%</w:t>
      </w:r>
      <w:r>
        <w:rPr>
          <w:rFonts w:hint="eastAsia"/>
          <w:bCs/>
          <w:szCs w:val="30"/>
        </w:rPr>
        <w:t xml:space="preserve">，其中优级天数 </w:t>
      </w:r>
      <w:r>
        <w:rPr>
          <w:rFonts w:hint="eastAsia" w:ascii="仿宋_GB2312" w:hAnsi="仿宋_GB2312" w:cs="仿宋_GB2312"/>
          <w:szCs w:val="30"/>
        </w:rPr>
        <w:t>1</w:t>
      </w:r>
      <w:r>
        <w:rPr>
          <w:rFonts w:ascii="仿宋_GB2312" w:hAnsi="仿宋_GB2312" w:cs="仿宋_GB2312"/>
          <w:szCs w:val="30"/>
        </w:rPr>
        <w:t>241</w:t>
      </w:r>
      <w:r>
        <w:rPr>
          <w:rFonts w:hint="eastAsia"/>
          <w:bCs/>
          <w:szCs w:val="30"/>
        </w:rPr>
        <w:t xml:space="preserve">天；细颗粒物平均浓度降至 </w:t>
      </w:r>
      <w:r>
        <w:rPr>
          <w:rFonts w:ascii="仿宋_GB2312" w:hAnsi="仿宋_GB2312" w:cs="仿宋_GB2312"/>
          <w:szCs w:val="30"/>
        </w:rPr>
        <w:t xml:space="preserve">21 </w:t>
      </w:r>
      <w:r>
        <w:rPr>
          <w:rFonts w:hint="eastAsia"/>
          <w:bCs/>
          <w:szCs w:val="30"/>
        </w:rPr>
        <w:t xml:space="preserve">微克/立方米，可吸入颗粒物平均浓度降至 </w:t>
      </w:r>
      <w:r>
        <w:rPr>
          <w:rFonts w:ascii="仿宋_GB2312" w:hAnsi="仿宋_GB2312" w:cs="仿宋_GB2312"/>
          <w:szCs w:val="30"/>
        </w:rPr>
        <w:t xml:space="preserve">38 </w:t>
      </w:r>
      <w:r>
        <w:rPr>
          <w:rFonts w:hint="eastAsia"/>
          <w:bCs/>
          <w:szCs w:val="30"/>
        </w:rPr>
        <w:t>微克/立方米，优于世界卫生组织第二阶段标准。全县主要流域国考、省考断面水质</w:t>
      </w:r>
      <w:r>
        <w:rPr>
          <w:bCs/>
          <w:szCs w:val="30"/>
        </w:rPr>
        <w:t>I</w:t>
      </w:r>
      <w:r>
        <w:rPr>
          <w:rFonts w:eastAsia="宋体"/>
          <w:bCs/>
          <w:szCs w:val="30"/>
        </w:rPr>
        <w:t>～</w:t>
      </w:r>
      <w:r>
        <w:rPr>
          <w:bCs/>
          <w:szCs w:val="30"/>
        </w:rPr>
        <w:t>Ⅲ</w:t>
      </w:r>
      <w:r>
        <w:rPr>
          <w:rFonts w:hint="eastAsia"/>
          <w:bCs/>
          <w:szCs w:val="30"/>
        </w:rPr>
        <w:t>类水质比例均达</w:t>
      </w:r>
      <w:r>
        <w:rPr>
          <w:rFonts w:ascii="仿宋_GB2312" w:hAnsi="仿宋_GB2312" w:cs="仿宋_GB2312"/>
          <w:szCs w:val="30"/>
        </w:rPr>
        <w:t>100%</w:t>
      </w:r>
      <w:r>
        <w:rPr>
          <w:rFonts w:hint="eastAsia"/>
          <w:bCs/>
          <w:szCs w:val="30"/>
        </w:rPr>
        <w:t>，无劣V类水质。</w:t>
      </w:r>
    </w:p>
    <w:p w14:paraId="5CCC5639">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3.探索生态文明建设模式，创建试点示范</w:t>
      </w:r>
    </w:p>
    <w:p w14:paraId="47BB138D">
      <w:pPr>
        <w:spacing w:line="600" w:lineRule="exact"/>
        <w:ind w:firstLine="640"/>
        <w:rPr>
          <w:szCs w:val="30"/>
        </w:rPr>
      </w:pPr>
      <w:r>
        <w:rPr>
          <w:rFonts w:hint="eastAsia"/>
          <w:szCs w:val="30"/>
        </w:rPr>
        <w:t>一是因案施策推进生态环境修复。通过签订协议自行补植造林或委托第三方进行“补植复绿”，共推动“补植复绿”</w:t>
      </w:r>
      <w:r>
        <w:rPr>
          <w:rFonts w:ascii="仿宋_GB2312" w:hAnsi="仿宋_GB2312" w:cs="仿宋_GB2312"/>
          <w:szCs w:val="30"/>
        </w:rPr>
        <w:t>600</w:t>
      </w:r>
      <w:r>
        <w:rPr>
          <w:rFonts w:hint="eastAsia"/>
          <w:szCs w:val="30"/>
        </w:rPr>
        <w:t xml:space="preserve">余亩。因案实施“养鱼治污”“增殖放流”生态修复模式，推动实施增殖放流 </w:t>
      </w:r>
      <w:r>
        <w:rPr>
          <w:rFonts w:ascii="仿宋_GB2312" w:hAnsi="仿宋_GB2312" w:cs="仿宋_GB2312"/>
          <w:szCs w:val="30"/>
        </w:rPr>
        <w:t>2</w:t>
      </w:r>
      <w:r>
        <w:rPr>
          <w:rFonts w:hint="eastAsia"/>
          <w:szCs w:val="30"/>
        </w:rPr>
        <w:t xml:space="preserve"> 次，向闽江流域投放鱼苗近 </w:t>
      </w:r>
      <w:r>
        <w:rPr>
          <w:rFonts w:ascii="仿宋_GB2312" w:hAnsi="仿宋_GB2312" w:cs="仿宋_GB2312"/>
          <w:szCs w:val="30"/>
        </w:rPr>
        <w:t>33</w:t>
      </w:r>
      <w:r>
        <w:rPr>
          <w:rFonts w:hint="eastAsia"/>
          <w:szCs w:val="30"/>
        </w:rPr>
        <w:t xml:space="preserve"> 万尾，促进以鱼净水，恢复水质。二是开展污染源普查工作。摸清了工业污染源、农业污染源、生活污染源、集中式污染治理单位和移动源五类污染源信息，建立健全了污染源档案和污染源信息数据库，为加强污染源监管、改善环境质量、防控环境风险、服务环境与发展综合决策提供依据。三是将古厝抢救性保护与生态环境修复有机结合，全省首创古村落、古厝文化生态司法保护示范点，受到《人民法院报》头版点赞。</w:t>
      </w:r>
    </w:p>
    <w:p w14:paraId="3A0CB9F3">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4.污染防治共建力度不减</w:t>
      </w:r>
    </w:p>
    <w:p w14:paraId="379E2715">
      <w:pPr>
        <w:spacing w:line="600" w:lineRule="exact"/>
        <w:ind w:firstLine="643"/>
        <w:rPr>
          <w:szCs w:val="30"/>
        </w:rPr>
      </w:pPr>
      <w:r>
        <w:rPr>
          <w:rFonts w:hint="eastAsia"/>
          <w:b/>
          <w:szCs w:val="30"/>
        </w:rPr>
        <w:t>蓝天保卫战方面：</w:t>
      </w:r>
      <w:r>
        <w:rPr>
          <w:rFonts w:hint="eastAsia"/>
          <w:szCs w:val="30"/>
        </w:rPr>
        <w:t xml:space="preserve">能源结构调整有效深化，实施颗粒物污染防治行动计划，强化对各类扬尘污染源的整治，大力发展节能环保产业，完成淘汰落后产能任务，全面淘汰改造 </w:t>
      </w:r>
      <w:r>
        <w:rPr>
          <w:rFonts w:hint="eastAsia" w:ascii="仿宋_GB2312" w:hAnsi="仿宋_GB2312" w:cs="仿宋_GB2312"/>
          <w:szCs w:val="30"/>
        </w:rPr>
        <w:t>1</w:t>
      </w:r>
      <w:r>
        <w:rPr>
          <w:rFonts w:ascii="仿宋_GB2312" w:hAnsi="仿宋_GB2312" w:cs="仿宋_GB2312"/>
          <w:szCs w:val="30"/>
        </w:rPr>
        <w:t>0</w:t>
      </w:r>
      <w:r>
        <w:rPr>
          <w:rFonts w:hint="eastAsia"/>
          <w:szCs w:val="30"/>
        </w:rPr>
        <w:t xml:space="preserve"> 蒸吨/时及以下燃煤锅炉。推进重点行业大气污染精准减排治理，</w:t>
      </w:r>
      <w:r>
        <w:rPr>
          <w:rFonts w:ascii="仿宋_GB2312" w:hAnsi="仿宋_GB2312" w:cs="仿宋_GB2312"/>
          <w:szCs w:val="30"/>
        </w:rPr>
        <w:t>2018</w:t>
      </w:r>
      <w:r>
        <w:rPr>
          <w:rFonts w:hint="eastAsia"/>
          <w:szCs w:val="30"/>
        </w:rPr>
        <w:t>年以来共完成涉挥发性有机物</w:t>
      </w:r>
      <w:r>
        <w:rPr>
          <w:rFonts w:hint="eastAsia" w:ascii="仿宋_GB2312" w:hAnsi="仿宋_GB2312" w:cs="仿宋_GB2312"/>
          <w:szCs w:val="30"/>
        </w:rPr>
        <w:t>（VOCs）</w:t>
      </w:r>
      <w:r>
        <w:rPr>
          <w:rFonts w:hint="eastAsia"/>
          <w:szCs w:val="30"/>
        </w:rPr>
        <w:t xml:space="preserve">治理项目 </w:t>
      </w:r>
      <w:r>
        <w:rPr>
          <w:rFonts w:ascii="仿宋_GB2312" w:hAnsi="仿宋_GB2312" w:cs="仿宋_GB2312"/>
          <w:szCs w:val="30"/>
        </w:rPr>
        <w:t>9</w:t>
      </w:r>
      <w:r>
        <w:rPr>
          <w:rFonts w:hint="eastAsia"/>
          <w:szCs w:val="30"/>
        </w:rPr>
        <w:t xml:space="preserve">个，完成 </w:t>
      </w:r>
      <w:r>
        <w:rPr>
          <w:rFonts w:ascii="仿宋_GB2312" w:hAnsi="仿宋_GB2312" w:cs="仿宋_GB2312"/>
          <w:szCs w:val="30"/>
        </w:rPr>
        <w:t>35</w:t>
      </w:r>
      <w:r>
        <w:rPr>
          <w:rFonts w:hint="eastAsia"/>
          <w:szCs w:val="30"/>
        </w:rPr>
        <w:t xml:space="preserve"> 家汽修企业“油改水”整治。完成非道路机械摸底调查和编码登记工作。推动油品质量升级，多部门联合印发《闽侯县成品油质量管控整治工作方案》，完成对全县在营加油站 </w:t>
      </w:r>
      <w:r>
        <w:rPr>
          <w:rFonts w:ascii="仿宋_GB2312" w:hAnsi="仿宋_GB2312" w:cs="仿宋_GB2312"/>
          <w:szCs w:val="30"/>
        </w:rPr>
        <w:t>100%</w:t>
      </w:r>
      <w:r>
        <w:rPr>
          <w:rFonts w:hint="eastAsia"/>
          <w:szCs w:val="30"/>
        </w:rPr>
        <w:t>抽检的目标。</w:t>
      </w:r>
    </w:p>
    <w:p w14:paraId="572E40B6">
      <w:pPr>
        <w:spacing w:line="600" w:lineRule="exact"/>
        <w:ind w:firstLine="643"/>
        <w:rPr>
          <w:szCs w:val="30"/>
        </w:rPr>
      </w:pPr>
      <w:r>
        <w:rPr>
          <w:rFonts w:hint="eastAsia"/>
          <w:b/>
          <w:szCs w:val="30"/>
        </w:rPr>
        <w:t>碧水保卫战方面：</w:t>
      </w:r>
      <w:r>
        <w:rPr>
          <w:rFonts w:hint="eastAsia"/>
          <w:szCs w:val="30"/>
        </w:rPr>
        <w:t xml:space="preserve">稳步推进小流域整治工作，完成荆溪小流域水质超标问题整治及井下溪小流域年度整治任务。开展闽江流域排放口分类整治，完成 </w:t>
      </w:r>
      <w:r>
        <w:rPr>
          <w:rFonts w:ascii="仿宋_GB2312" w:hAnsi="仿宋_GB2312" w:cs="仿宋_GB2312"/>
          <w:szCs w:val="30"/>
        </w:rPr>
        <w:t>113</w:t>
      </w:r>
      <w:r>
        <w:rPr>
          <w:rFonts w:hint="eastAsia"/>
          <w:szCs w:val="30"/>
        </w:rPr>
        <w:t xml:space="preserve"> 个排放口整治工作。组织开展县、乡两级水源地环境评估及乡镇级及以上饮用水源地勘察定界工作，推动饮用水源地规范化建设。加大饮用水源地整治力度，完成县级及以上水源地 </w:t>
      </w:r>
      <w:r>
        <w:rPr>
          <w:rFonts w:ascii="仿宋_GB2312" w:hAnsi="仿宋_GB2312" w:cs="仿宋_GB2312"/>
          <w:szCs w:val="30"/>
        </w:rPr>
        <w:t>43</w:t>
      </w:r>
      <w:r>
        <w:rPr>
          <w:rFonts w:hint="eastAsia"/>
          <w:szCs w:val="30"/>
        </w:rPr>
        <w:t xml:space="preserve"> 个斑块问题清理整治及 </w:t>
      </w:r>
      <w:r>
        <w:rPr>
          <w:rFonts w:ascii="仿宋_GB2312" w:hAnsi="仿宋_GB2312" w:cs="仿宋_GB2312"/>
          <w:szCs w:val="30"/>
        </w:rPr>
        <w:t>4</w:t>
      </w:r>
      <w:r>
        <w:rPr>
          <w:rFonts w:hint="eastAsia"/>
          <w:szCs w:val="30"/>
        </w:rPr>
        <w:t xml:space="preserve"> 个农村“千吨万人”水源地环境问题销号工作。</w:t>
      </w:r>
    </w:p>
    <w:p w14:paraId="5707FA6E">
      <w:pPr>
        <w:spacing w:line="600" w:lineRule="exact"/>
        <w:ind w:firstLine="643"/>
        <w:rPr>
          <w:szCs w:val="30"/>
        </w:rPr>
      </w:pPr>
      <w:r>
        <w:rPr>
          <w:rFonts w:hint="eastAsia"/>
          <w:b/>
          <w:szCs w:val="30"/>
        </w:rPr>
        <w:t>净土保卫战方面：</w:t>
      </w:r>
      <w:r>
        <w:rPr>
          <w:rFonts w:hint="eastAsia"/>
          <w:szCs w:val="30"/>
        </w:rPr>
        <w:t xml:space="preserve">“十三五”期间闽侯县地下水质量、化肥使用量、农药使用量控制比例等指标均符合考核要求。在“十三五”期间，配合市生态环境局全面完成辖区内重点行业企业用地土壤污染状况调查。规范疑似污染地块开发利用，与 </w:t>
      </w:r>
      <w:r>
        <w:rPr>
          <w:rFonts w:ascii="仿宋_GB2312" w:hAnsi="仿宋_GB2312" w:cs="仿宋_GB2312"/>
          <w:szCs w:val="30"/>
        </w:rPr>
        <w:t>2</w:t>
      </w:r>
      <w:r>
        <w:rPr>
          <w:rFonts w:hint="eastAsia"/>
          <w:szCs w:val="30"/>
        </w:rPr>
        <w:t xml:space="preserve"> 家省级土壤环境重点监管企业签订土壤污染防治目标责任书，完成重点监管企业周边土壤监督性监测。福建省固体废物处置有限公司处理处置危险废物的能力达到 </w:t>
      </w:r>
      <w:r>
        <w:rPr>
          <w:rFonts w:ascii="仿宋_GB2312" w:hAnsi="仿宋_GB2312" w:cs="仿宋_GB2312"/>
          <w:szCs w:val="30"/>
        </w:rPr>
        <w:t>4.83</w:t>
      </w:r>
      <w:r>
        <w:rPr>
          <w:rFonts w:hint="eastAsia"/>
          <w:szCs w:val="30"/>
        </w:rPr>
        <w:t xml:space="preserve"> 万吨/年，满足全县危险废物处置需求。</w:t>
      </w:r>
    </w:p>
    <w:p w14:paraId="5053E5FD">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5.生态治理任务全面完成</w:t>
      </w:r>
    </w:p>
    <w:p w14:paraId="04019718">
      <w:pPr>
        <w:spacing w:line="600" w:lineRule="exact"/>
        <w:ind w:firstLine="640"/>
        <w:rPr>
          <w:szCs w:val="30"/>
        </w:rPr>
      </w:pPr>
      <w:r>
        <w:rPr>
          <w:rFonts w:hint="eastAsia"/>
          <w:szCs w:val="30"/>
        </w:rPr>
        <w:t>顺利完成自然保护区、森林覆盖率、森林蓄积量、湿地保有量和林地保有量等任务。加快推进闽江流域生态保护修复，全面完成水土流失综合治理、露天矿山挂白图斑生态修复治理现状调查任务。造林绿化和森林经营面积</w:t>
      </w:r>
      <w:r>
        <w:rPr>
          <w:rFonts w:ascii="仿宋_GB2312" w:hAnsi="仿宋_GB2312" w:cs="仿宋_GB2312"/>
          <w:szCs w:val="30"/>
        </w:rPr>
        <w:t>35.28</w:t>
      </w:r>
      <w:r>
        <w:rPr>
          <w:rFonts w:hint="eastAsia"/>
          <w:szCs w:val="30"/>
        </w:rPr>
        <w:t>万亩，森林覆盖率由</w:t>
      </w:r>
      <w:r>
        <w:rPr>
          <w:rFonts w:ascii="仿宋_GB2312" w:hAnsi="仿宋_GB2312" w:cs="仿宋_GB2312"/>
          <w:szCs w:val="30"/>
        </w:rPr>
        <w:t>2015</w:t>
      </w:r>
      <w:r>
        <w:rPr>
          <w:rFonts w:hint="eastAsia"/>
          <w:szCs w:val="30"/>
        </w:rPr>
        <w:t>年的</w:t>
      </w:r>
      <w:r>
        <w:rPr>
          <w:rFonts w:ascii="仿宋_GB2312" w:hAnsi="仿宋_GB2312" w:cs="仿宋_GB2312"/>
          <w:szCs w:val="30"/>
        </w:rPr>
        <w:t>53.86%</w:t>
      </w:r>
      <w:r>
        <w:rPr>
          <w:rFonts w:hint="eastAsia"/>
          <w:szCs w:val="30"/>
        </w:rPr>
        <w:t>提升至</w:t>
      </w:r>
      <w:r>
        <w:rPr>
          <w:rFonts w:ascii="仿宋_GB2312" w:hAnsi="仿宋_GB2312" w:cs="仿宋_GB2312"/>
          <w:szCs w:val="30"/>
        </w:rPr>
        <w:t>6</w:t>
      </w:r>
      <w:bookmarkStart w:id="12" w:name="_Hlk102233785"/>
      <w:r>
        <w:rPr>
          <w:rFonts w:ascii="仿宋_GB2312" w:hAnsi="仿宋_GB2312" w:cs="仿宋_GB2312"/>
          <w:szCs w:val="30"/>
        </w:rPr>
        <w:t>1</w:t>
      </w:r>
      <w:bookmarkEnd w:id="12"/>
      <w:r>
        <w:rPr>
          <w:rFonts w:ascii="仿宋_GB2312" w:hAnsi="仿宋_GB2312" w:cs="仿宋_GB2312"/>
          <w:szCs w:val="30"/>
        </w:rPr>
        <w:t>.53%</w:t>
      </w:r>
      <w:r>
        <w:rPr>
          <w:rFonts w:hint="eastAsia"/>
          <w:szCs w:val="30"/>
        </w:rPr>
        <w:t>。全县共治理水土流失面积</w:t>
      </w:r>
      <w:r>
        <w:rPr>
          <w:rFonts w:ascii="仿宋_GB2312" w:hAnsi="仿宋_GB2312" w:cs="仿宋_GB2312"/>
          <w:szCs w:val="30"/>
        </w:rPr>
        <w:t>8.22</w:t>
      </w:r>
      <w:r>
        <w:rPr>
          <w:rFonts w:hint="eastAsia"/>
          <w:szCs w:val="30"/>
        </w:rPr>
        <w:t>万亩。</w:t>
      </w:r>
    </w:p>
    <w:p w14:paraId="5E724888">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6.环境基础设施更为完善</w:t>
      </w:r>
    </w:p>
    <w:p w14:paraId="35CCF187">
      <w:pPr>
        <w:spacing w:line="600" w:lineRule="exact"/>
        <w:ind w:firstLine="640"/>
        <w:rPr>
          <w:szCs w:val="30"/>
        </w:rPr>
      </w:pPr>
      <w:r>
        <w:rPr>
          <w:rFonts w:hint="eastAsia"/>
          <w:szCs w:val="30"/>
        </w:rPr>
        <w:t>“十三五”期间，闽侯县城镇环境基础设施建设不断加强。全县</w:t>
      </w:r>
      <w:r>
        <w:rPr>
          <w:rFonts w:ascii="仿宋_GB2312" w:hAnsi="仿宋_GB2312" w:cs="仿宋_GB2312"/>
          <w:szCs w:val="30"/>
        </w:rPr>
        <w:t>14</w:t>
      </w:r>
      <w:r>
        <w:rPr>
          <w:rFonts w:hint="eastAsia"/>
          <w:szCs w:val="30"/>
        </w:rPr>
        <w:t xml:space="preserve"> 个乡镇（街道）实现生活污水处理设施全覆盖，建成污水管网</w:t>
      </w:r>
      <w:r>
        <w:rPr>
          <w:rFonts w:ascii="仿宋_GB2312" w:hAnsi="仿宋_GB2312" w:cs="仿宋_GB2312"/>
          <w:szCs w:val="30"/>
        </w:rPr>
        <w:t>140</w:t>
      </w:r>
      <w:r>
        <w:rPr>
          <w:rFonts w:hint="eastAsia"/>
          <w:szCs w:val="30"/>
        </w:rPr>
        <w:t xml:space="preserve">公里，农村生活污水治理率达 </w:t>
      </w:r>
      <w:r>
        <w:rPr>
          <w:rFonts w:ascii="仿宋_GB2312" w:hAnsi="仿宋_GB2312" w:cs="仿宋_GB2312"/>
          <w:szCs w:val="30"/>
        </w:rPr>
        <w:t>81.45%</w:t>
      </w:r>
      <w:r>
        <w:rPr>
          <w:rFonts w:hint="eastAsia"/>
          <w:szCs w:val="30"/>
        </w:rPr>
        <w:t>。已完成福州大学城污水处理厂、闽侯县城关污水处理厂提标改造任务，已稳定达到《城镇污水处理厂污染物排放标准》（</w:t>
      </w:r>
      <w:r>
        <w:rPr>
          <w:rFonts w:ascii="仿宋_GB2312" w:hAnsi="仿宋_GB2312" w:cs="仿宋_GB2312"/>
          <w:szCs w:val="30"/>
        </w:rPr>
        <w:t>GB18918-2002</w:t>
      </w:r>
      <w:r>
        <w:rPr>
          <w:rFonts w:hint="eastAsia"/>
          <w:szCs w:val="30"/>
        </w:rPr>
        <w:t xml:space="preserve">）一级 </w:t>
      </w:r>
      <w:r>
        <w:rPr>
          <w:rFonts w:ascii="仿宋_GB2312" w:hAnsi="仿宋_GB2312" w:cs="仿宋_GB2312"/>
          <w:szCs w:val="30"/>
        </w:rPr>
        <w:t>A</w:t>
      </w:r>
      <w:r>
        <w:rPr>
          <w:rFonts w:hint="eastAsia"/>
          <w:szCs w:val="30"/>
        </w:rPr>
        <w:t xml:space="preserve"> 排放标准，处理能力 </w:t>
      </w:r>
      <w:r>
        <w:rPr>
          <w:rFonts w:ascii="仿宋_GB2312" w:hAnsi="仿宋_GB2312" w:cs="仿宋_GB2312"/>
          <w:szCs w:val="30"/>
        </w:rPr>
        <w:t>8</w:t>
      </w:r>
      <w:r>
        <w:rPr>
          <w:rFonts w:hint="eastAsia"/>
          <w:szCs w:val="30"/>
        </w:rPr>
        <w:t xml:space="preserve"> 万吨/日；全县建成垃圾无害化处理设施，城乡垃圾无害化处理率保持 </w:t>
      </w:r>
      <w:r>
        <w:rPr>
          <w:rFonts w:ascii="仿宋_GB2312" w:hAnsi="仿宋_GB2312" w:cs="仿宋_GB2312"/>
          <w:szCs w:val="30"/>
        </w:rPr>
        <w:t>100%</w:t>
      </w:r>
      <w:r>
        <w:rPr>
          <w:rFonts w:hint="eastAsia"/>
          <w:szCs w:val="30"/>
        </w:rPr>
        <w:t>。全县</w:t>
      </w:r>
      <w:r>
        <w:rPr>
          <w:rFonts w:ascii="仿宋_GB2312" w:hAnsi="仿宋_GB2312" w:cs="仿宋_GB2312"/>
          <w:szCs w:val="30"/>
        </w:rPr>
        <w:t>270</w:t>
      </w:r>
      <w:r>
        <w:rPr>
          <w:rFonts w:hint="eastAsia"/>
          <w:szCs w:val="30"/>
        </w:rPr>
        <w:t xml:space="preserve">个行政村已全部实现农村垃圾治理常态化机制管理。积极推进农村生活污水治理，完成 </w:t>
      </w:r>
      <w:r>
        <w:rPr>
          <w:rFonts w:ascii="仿宋_GB2312" w:hAnsi="仿宋_GB2312" w:cs="仿宋_GB2312"/>
          <w:szCs w:val="30"/>
        </w:rPr>
        <w:t>104</w:t>
      </w:r>
      <w:r>
        <w:rPr>
          <w:rFonts w:hint="eastAsia"/>
          <w:szCs w:val="30"/>
        </w:rPr>
        <w:t xml:space="preserve"> 个行政村污水治理和 </w:t>
      </w:r>
      <w:r>
        <w:rPr>
          <w:rFonts w:ascii="仿宋_GB2312" w:hAnsi="仿宋_GB2312" w:cs="仿宋_GB2312"/>
          <w:szCs w:val="30"/>
        </w:rPr>
        <w:t xml:space="preserve">12181 </w:t>
      </w:r>
      <w:r>
        <w:rPr>
          <w:rFonts w:hint="eastAsia"/>
          <w:szCs w:val="30"/>
        </w:rPr>
        <w:t>户三格化粪池新建改造任务。</w:t>
      </w:r>
    </w:p>
    <w:p w14:paraId="670666F5">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7.环境监测能力智慧升级</w:t>
      </w:r>
    </w:p>
    <w:p w14:paraId="36D8DC3C">
      <w:pPr>
        <w:spacing w:line="600" w:lineRule="exact"/>
        <w:ind w:firstLine="640"/>
        <w:rPr>
          <w:szCs w:val="30"/>
        </w:rPr>
      </w:pPr>
      <w:r>
        <w:rPr>
          <w:rFonts w:hint="eastAsia"/>
          <w:szCs w:val="30"/>
        </w:rPr>
        <w:t xml:space="preserve">推进环境监测网络能力建设和生态云平台应用。积极推进环境监测网络能力建设，新增上街、青口两个 </w:t>
      </w:r>
      <w:r>
        <w:rPr>
          <w:rFonts w:ascii="仿宋_GB2312" w:hAnsi="仿宋_GB2312" w:cs="仿宋_GB2312"/>
          <w:szCs w:val="30"/>
        </w:rPr>
        <w:t>VOC</w:t>
      </w:r>
      <w:r>
        <w:rPr>
          <w:rFonts w:hint="eastAsia" w:ascii="仿宋_GB2312" w:hAnsi="仿宋_GB2312" w:cs="仿宋_GB2312"/>
          <w:szCs w:val="30"/>
        </w:rPr>
        <w:t>s</w:t>
      </w:r>
      <w:r>
        <w:rPr>
          <w:rFonts w:hint="eastAsia"/>
          <w:szCs w:val="30"/>
        </w:rPr>
        <w:t xml:space="preserve"> 在线监测站点，新建科技中心空气自动监测站点。全面加强对网格化监管和移动执法系统的运用，充分利用生态云平台开展应急联防联控工作。</w:t>
      </w:r>
    </w:p>
    <w:p w14:paraId="12C32D55">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8.监管执法能力不断提升</w:t>
      </w:r>
    </w:p>
    <w:p w14:paraId="2BB6A38F">
      <w:pPr>
        <w:spacing w:line="600" w:lineRule="exact"/>
        <w:ind w:firstLine="640"/>
        <w:rPr>
          <w:szCs w:val="30"/>
        </w:rPr>
      </w:pPr>
      <w:r>
        <w:rPr>
          <w:rFonts w:hint="eastAsia"/>
          <w:szCs w:val="30"/>
        </w:rPr>
        <w:t xml:space="preserve">“十三五”期间，一是开展环境执法大练兵活动，立案查处环境违法案件 </w:t>
      </w:r>
      <w:r>
        <w:rPr>
          <w:rFonts w:ascii="仿宋_GB2312" w:hAnsi="仿宋_GB2312" w:cs="仿宋_GB2312"/>
          <w:szCs w:val="30"/>
        </w:rPr>
        <w:t>499</w:t>
      </w:r>
      <w:r>
        <w:rPr>
          <w:rFonts w:hint="eastAsia"/>
          <w:szCs w:val="30"/>
        </w:rPr>
        <w:t xml:space="preserve"> 起。二是加大环境信访查处力度，办理各类信访件</w:t>
      </w:r>
      <w:r>
        <w:rPr>
          <w:rFonts w:ascii="仿宋_GB2312" w:hAnsi="仿宋_GB2312" w:cs="仿宋_GB2312"/>
          <w:szCs w:val="30"/>
        </w:rPr>
        <w:t>19701</w:t>
      </w:r>
      <w:r>
        <w:rPr>
          <w:rFonts w:hint="eastAsia"/>
          <w:szCs w:val="30"/>
        </w:rPr>
        <w:t xml:space="preserve">件，办结率 </w:t>
      </w:r>
      <w:r>
        <w:rPr>
          <w:rFonts w:ascii="仿宋_GB2312" w:hAnsi="仿宋_GB2312" w:cs="仿宋_GB2312"/>
          <w:szCs w:val="30"/>
        </w:rPr>
        <w:t>10</w:t>
      </w:r>
      <w:bookmarkStart w:id="13" w:name="_Hlk102233420"/>
      <w:r>
        <w:rPr>
          <w:rFonts w:ascii="仿宋_GB2312" w:hAnsi="仿宋_GB2312" w:cs="仿宋_GB2312"/>
          <w:szCs w:val="30"/>
        </w:rPr>
        <w:t>0%</w:t>
      </w:r>
      <w:bookmarkEnd w:id="13"/>
      <w:r>
        <w:rPr>
          <w:rFonts w:hint="eastAsia"/>
          <w:szCs w:val="30"/>
        </w:rPr>
        <w:t xml:space="preserve">。三是开展环保领域扫黑除恶专项斗争。累计出动执法人员 </w:t>
      </w:r>
      <w:bookmarkStart w:id="14" w:name="_Hlk102233690"/>
      <w:r>
        <w:rPr>
          <w:rFonts w:ascii="仿宋_GB2312" w:hAnsi="仿宋_GB2312" w:cs="仿宋_GB2312"/>
          <w:szCs w:val="30"/>
        </w:rPr>
        <w:t>3</w:t>
      </w:r>
      <w:bookmarkEnd w:id="14"/>
      <w:r>
        <w:rPr>
          <w:rFonts w:ascii="仿宋_GB2312" w:hAnsi="仿宋_GB2312" w:cs="仿宋_GB2312"/>
          <w:szCs w:val="30"/>
        </w:rPr>
        <w:t>000</w:t>
      </w:r>
      <w:r>
        <w:rPr>
          <w:rFonts w:hint="eastAsia"/>
          <w:szCs w:val="30"/>
        </w:rPr>
        <w:t xml:space="preserve"> 余人次，检查企事业单位及个体工商户 </w:t>
      </w:r>
      <w:r>
        <w:rPr>
          <w:rFonts w:ascii="仿宋_GB2312" w:hAnsi="仿宋_GB2312" w:cs="仿宋_GB2312"/>
          <w:szCs w:val="30"/>
        </w:rPr>
        <w:t>130</w:t>
      </w:r>
      <w:bookmarkStart w:id="15" w:name="_Hlk102233663"/>
      <w:r>
        <w:rPr>
          <w:rFonts w:ascii="仿宋_GB2312" w:hAnsi="仿宋_GB2312" w:cs="仿宋_GB2312"/>
          <w:szCs w:val="30"/>
        </w:rPr>
        <w:t>0</w:t>
      </w:r>
      <w:bookmarkEnd w:id="15"/>
      <w:r>
        <w:rPr>
          <w:rFonts w:hint="eastAsia"/>
          <w:szCs w:val="30"/>
        </w:rPr>
        <w:t xml:space="preserve">余家次，报送扫黑除恶线索 </w:t>
      </w:r>
      <w:r>
        <w:rPr>
          <w:rFonts w:ascii="仿宋_GB2312" w:hAnsi="仿宋_GB2312" w:cs="仿宋_GB2312"/>
          <w:szCs w:val="30"/>
        </w:rPr>
        <w:t>7</w:t>
      </w:r>
      <w:r>
        <w:rPr>
          <w:rFonts w:hint="eastAsia"/>
          <w:szCs w:val="30"/>
        </w:rPr>
        <w:t xml:space="preserve"> 条，主要领导亲自调研核查督办上级转办线索 </w:t>
      </w:r>
      <w:r>
        <w:rPr>
          <w:rFonts w:ascii="仿宋_GB2312" w:hAnsi="仿宋_GB2312" w:cs="仿宋_GB2312"/>
          <w:szCs w:val="30"/>
        </w:rPr>
        <w:t>25</w:t>
      </w:r>
      <w:r>
        <w:rPr>
          <w:rFonts w:hint="eastAsia"/>
          <w:szCs w:val="30"/>
        </w:rPr>
        <w:t xml:space="preserve"> 件。四是摸排“散乱污”企业 </w:t>
      </w:r>
      <w:r>
        <w:rPr>
          <w:rFonts w:ascii="仿宋_GB2312" w:hAnsi="仿宋_GB2312" w:cs="仿宋_GB2312"/>
          <w:szCs w:val="30"/>
        </w:rPr>
        <w:t>293</w:t>
      </w:r>
      <w:r>
        <w:rPr>
          <w:rFonts w:hint="eastAsia"/>
          <w:szCs w:val="30"/>
        </w:rPr>
        <w:t xml:space="preserve"> 家，已关停 </w:t>
      </w:r>
      <w:r>
        <w:rPr>
          <w:rFonts w:ascii="仿宋_GB2312" w:hAnsi="仿宋_GB2312" w:cs="仿宋_GB2312"/>
          <w:szCs w:val="30"/>
        </w:rPr>
        <w:t>192</w:t>
      </w:r>
      <w:r>
        <w:rPr>
          <w:rFonts w:hint="eastAsia"/>
          <w:szCs w:val="30"/>
        </w:rPr>
        <w:t xml:space="preserve"> 家，搬迁整合 </w:t>
      </w:r>
      <w:r>
        <w:rPr>
          <w:rFonts w:ascii="仿宋_GB2312" w:hAnsi="仿宋_GB2312" w:cs="仿宋_GB2312"/>
          <w:szCs w:val="30"/>
        </w:rPr>
        <w:t>36</w:t>
      </w:r>
      <w:r>
        <w:rPr>
          <w:rFonts w:hint="eastAsia"/>
          <w:szCs w:val="30"/>
        </w:rPr>
        <w:t xml:space="preserve"> 家，完成升级改造 </w:t>
      </w:r>
      <w:r>
        <w:rPr>
          <w:rFonts w:ascii="仿宋_GB2312" w:hAnsi="仿宋_GB2312" w:cs="仿宋_GB2312"/>
          <w:szCs w:val="30"/>
        </w:rPr>
        <w:t>58</w:t>
      </w:r>
      <w:r>
        <w:rPr>
          <w:rFonts w:hint="eastAsia"/>
          <w:szCs w:val="30"/>
        </w:rPr>
        <w:t xml:space="preserve"> 家。五是完成2020 年前、年度固定污染源发证和登记清单企业数 </w:t>
      </w:r>
      <w:r>
        <w:rPr>
          <w:rFonts w:ascii="仿宋_GB2312" w:hAnsi="仿宋_GB2312" w:cs="仿宋_GB2312"/>
          <w:szCs w:val="30"/>
        </w:rPr>
        <w:t>3119</w:t>
      </w:r>
      <w:r>
        <w:rPr>
          <w:rFonts w:hint="eastAsia"/>
          <w:szCs w:val="30"/>
        </w:rPr>
        <w:t xml:space="preserve"> 家。六是开展水源保护区内违建项目清查整治，出动人员 </w:t>
      </w:r>
      <w:r>
        <w:rPr>
          <w:rFonts w:ascii="仿宋_GB2312" w:hAnsi="仿宋_GB2312" w:cs="仿宋_GB2312"/>
          <w:szCs w:val="30"/>
        </w:rPr>
        <w:t xml:space="preserve">165 </w:t>
      </w:r>
      <w:r>
        <w:rPr>
          <w:rFonts w:hint="eastAsia"/>
          <w:szCs w:val="30"/>
        </w:rPr>
        <w:t xml:space="preserve">人次，实地核查 </w:t>
      </w:r>
      <w:r>
        <w:rPr>
          <w:rFonts w:ascii="仿宋_GB2312" w:hAnsi="仿宋_GB2312" w:cs="仿宋_GB2312"/>
          <w:szCs w:val="30"/>
        </w:rPr>
        <w:t>187</w:t>
      </w:r>
      <w:r>
        <w:rPr>
          <w:rFonts w:hint="eastAsia"/>
          <w:szCs w:val="30"/>
        </w:rPr>
        <w:t xml:space="preserve"> 宗项目。</w:t>
      </w:r>
    </w:p>
    <w:p w14:paraId="71E7F437">
      <w:pPr>
        <w:pStyle w:val="7"/>
        <w:spacing w:line="600" w:lineRule="exact"/>
        <w:ind w:firstLine="0" w:firstLineChars="0"/>
        <w:rPr>
          <w:rFonts w:ascii="黑体" w:hAnsi="黑体" w:eastAsia="黑体" w:cs="Times New Roman"/>
          <w:bCs w:val="0"/>
          <w:sz w:val="40"/>
          <w:szCs w:val="40"/>
        </w:rPr>
      </w:pPr>
      <w:bookmarkStart w:id="16" w:name="_Toc103937256"/>
      <w:bookmarkStart w:id="17" w:name="_Toc103936998"/>
      <w:r>
        <w:rPr>
          <w:rFonts w:ascii="黑体" w:hAnsi="黑体" w:eastAsia="黑体" w:cs="Times New Roman"/>
          <w:bCs w:val="0"/>
          <w:sz w:val="40"/>
          <w:szCs w:val="40"/>
        </w:rPr>
        <w:t>（</w:t>
      </w:r>
      <w:r>
        <w:rPr>
          <w:rFonts w:hint="eastAsia" w:ascii="黑体" w:hAnsi="黑体" w:eastAsia="黑体" w:cs="Times New Roman"/>
          <w:bCs w:val="0"/>
          <w:sz w:val="40"/>
          <w:szCs w:val="40"/>
        </w:rPr>
        <w:t>二</w:t>
      </w:r>
      <w:r>
        <w:rPr>
          <w:rFonts w:ascii="黑体" w:hAnsi="黑体" w:eastAsia="黑体" w:cs="Times New Roman"/>
          <w:bCs w:val="0"/>
          <w:sz w:val="40"/>
          <w:szCs w:val="40"/>
        </w:rPr>
        <w:t>）2021</w:t>
      </w:r>
      <w:r>
        <w:rPr>
          <w:rFonts w:hint="eastAsia" w:ascii="黑体" w:hAnsi="黑体" w:eastAsia="黑体" w:cs="Times New Roman"/>
          <w:bCs w:val="0"/>
          <w:sz w:val="40"/>
          <w:szCs w:val="40"/>
        </w:rPr>
        <w:t>年</w:t>
      </w:r>
      <w:r>
        <w:rPr>
          <w:rFonts w:ascii="黑体" w:hAnsi="黑体" w:eastAsia="黑体" w:cs="Times New Roman"/>
          <w:bCs w:val="0"/>
          <w:sz w:val="40"/>
          <w:szCs w:val="40"/>
        </w:rPr>
        <w:t>生态环境</w:t>
      </w:r>
      <w:r>
        <w:rPr>
          <w:rFonts w:hint="eastAsia" w:ascii="黑体" w:hAnsi="黑体" w:eastAsia="黑体" w:cs="Times New Roman"/>
          <w:bCs w:val="0"/>
          <w:sz w:val="40"/>
          <w:szCs w:val="40"/>
        </w:rPr>
        <w:t>保护工作成效</w:t>
      </w:r>
      <w:bookmarkEnd w:id="16"/>
      <w:bookmarkEnd w:id="17"/>
    </w:p>
    <w:p w14:paraId="06449123">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1.生态环境继续保持优良</w:t>
      </w:r>
    </w:p>
    <w:p w14:paraId="0B1A1F66">
      <w:pPr>
        <w:pStyle w:val="33"/>
        <w:spacing w:line="600" w:lineRule="exact"/>
        <w:ind w:firstLine="640"/>
        <w:rPr>
          <w:rFonts w:eastAsia="仿宋_GB2312"/>
          <w:kern w:val="2"/>
          <w:szCs w:val="30"/>
        </w:rPr>
      </w:pPr>
      <w:r>
        <w:rPr>
          <w:rFonts w:hint="eastAsia" w:eastAsia="仿宋_GB2312"/>
          <w:kern w:val="2"/>
          <w:szCs w:val="30"/>
        </w:rPr>
        <w:t>闽侯县主要流域（闽江、敖江）国、省考断面水质优良比例达</w:t>
      </w:r>
      <w:r>
        <w:rPr>
          <w:rFonts w:ascii="仿宋_GB2312" w:hAnsi="仿宋_GB2312" w:cs="仿宋_GB2312"/>
          <w:szCs w:val="30"/>
        </w:rPr>
        <w:t>100%</w:t>
      </w:r>
      <w:r>
        <w:rPr>
          <w:rFonts w:hint="eastAsia" w:eastAsia="仿宋_GB2312"/>
          <w:kern w:val="2"/>
          <w:szCs w:val="30"/>
        </w:rPr>
        <w:t>，在福州市各县区水环境质量城市水质指数（干流）列第二。省考小流域断面I～</w:t>
      </w:r>
      <w:r>
        <w:rPr>
          <w:rFonts w:eastAsia="仿宋_GB2312"/>
          <w:kern w:val="2"/>
          <w:szCs w:val="30"/>
        </w:rPr>
        <w:fldChar w:fldCharType="begin"/>
      </w:r>
      <w:r>
        <w:rPr>
          <w:rFonts w:eastAsia="仿宋_GB2312"/>
          <w:kern w:val="2"/>
          <w:szCs w:val="30"/>
        </w:rPr>
        <w:instrText xml:space="preserve"> </w:instrText>
      </w:r>
      <w:r>
        <w:rPr>
          <w:rFonts w:hint="eastAsia" w:eastAsia="仿宋_GB2312"/>
          <w:kern w:val="2"/>
          <w:szCs w:val="30"/>
        </w:rPr>
        <w:instrText xml:space="preserve">= 3 \* ROMAN</w:instrText>
      </w:r>
      <w:r>
        <w:rPr>
          <w:rFonts w:eastAsia="仿宋_GB2312"/>
          <w:kern w:val="2"/>
          <w:szCs w:val="30"/>
        </w:rPr>
        <w:instrText xml:space="preserve"> </w:instrText>
      </w:r>
      <w:r>
        <w:rPr>
          <w:rFonts w:eastAsia="仿宋_GB2312"/>
          <w:kern w:val="2"/>
          <w:szCs w:val="30"/>
        </w:rPr>
        <w:fldChar w:fldCharType="separate"/>
      </w:r>
      <w:r>
        <w:rPr>
          <w:rFonts w:eastAsia="仿宋_GB2312"/>
          <w:kern w:val="2"/>
          <w:szCs w:val="30"/>
        </w:rPr>
        <w:t>III</w:t>
      </w:r>
      <w:r>
        <w:rPr>
          <w:rFonts w:eastAsia="仿宋_GB2312"/>
          <w:kern w:val="2"/>
          <w:szCs w:val="30"/>
        </w:rPr>
        <w:fldChar w:fldCharType="end"/>
      </w:r>
      <w:r>
        <w:rPr>
          <w:rFonts w:hint="eastAsia" w:eastAsia="仿宋_GB2312"/>
          <w:kern w:val="2"/>
          <w:szCs w:val="30"/>
        </w:rPr>
        <w:t>类优良水质比例为</w:t>
      </w:r>
      <w:bookmarkStart w:id="18" w:name="_Hlk102233330"/>
      <w:r>
        <w:rPr>
          <w:rFonts w:ascii="仿宋_GB2312" w:hAnsi="仿宋_GB2312" w:cs="仿宋_GB2312"/>
          <w:szCs w:val="30"/>
        </w:rPr>
        <w:t>100%</w:t>
      </w:r>
      <w:bookmarkEnd w:id="18"/>
      <w:r>
        <w:rPr>
          <w:rFonts w:hint="eastAsia" w:eastAsia="仿宋_GB2312"/>
          <w:kern w:val="2"/>
          <w:szCs w:val="30"/>
        </w:rPr>
        <w:t>。乡镇级、县级及以上集中式饮用水水质达标率（</w:t>
      </w:r>
      <w:r>
        <w:rPr>
          <w:rFonts w:eastAsia="仿宋_GB2312"/>
          <w:kern w:val="2"/>
          <w:szCs w:val="30"/>
        </w:rPr>
        <w:fldChar w:fldCharType="begin"/>
      </w:r>
      <w:r>
        <w:rPr>
          <w:rFonts w:eastAsia="仿宋_GB2312"/>
          <w:kern w:val="2"/>
          <w:szCs w:val="30"/>
        </w:rPr>
        <w:instrText xml:space="preserve"> </w:instrText>
      </w:r>
      <w:r>
        <w:rPr>
          <w:rFonts w:hint="eastAsia" w:eastAsia="仿宋_GB2312"/>
          <w:kern w:val="2"/>
          <w:szCs w:val="30"/>
        </w:rPr>
        <w:instrText xml:space="preserve">= 3 \* ROMAN</w:instrText>
      </w:r>
      <w:r>
        <w:rPr>
          <w:rFonts w:eastAsia="仿宋_GB2312"/>
          <w:kern w:val="2"/>
          <w:szCs w:val="30"/>
        </w:rPr>
        <w:instrText xml:space="preserve"> </w:instrText>
      </w:r>
      <w:r>
        <w:rPr>
          <w:rFonts w:eastAsia="仿宋_GB2312"/>
          <w:kern w:val="2"/>
          <w:szCs w:val="30"/>
        </w:rPr>
        <w:fldChar w:fldCharType="separate"/>
      </w:r>
      <w:r>
        <w:rPr>
          <w:rFonts w:eastAsia="仿宋_GB2312"/>
          <w:kern w:val="2"/>
          <w:szCs w:val="30"/>
        </w:rPr>
        <w:t>III</w:t>
      </w:r>
      <w:r>
        <w:rPr>
          <w:rFonts w:eastAsia="仿宋_GB2312"/>
          <w:kern w:val="2"/>
          <w:szCs w:val="30"/>
        </w:rPr>
        <w:fldChar w:fldCharType="end"/>
      </w:r>
      <w:r>
        <w:rPr>
          <w:rFonts w:hint="eastAsia" w:eastAsia="仿宋_GB2312"/>
          <w:kern w:val="2"/>
          <w:szCs w:val="30"/>
        </w:rPr>
        <w:t>类）继续保持</w:t>
      </w:r>
      <w:r>
        <w:rPr>
          <w:rFonts w:ascii="仿宋_GB2312" w:hAnsi="仿宋_GB2312" w:cs="仿宋_GB2312"/>
          <w:szCs w:val="30"/>
        </w:rPr>
        <w:t>100%</w:t>
      </w:r>
      <w:r>
        <w:rPr>
          <w:rFonts w:hint="eastAsia" w:eastAsia="仿宋_GB2312"/>
          <w:kern w:val="2"/>
          <w:szCs w:val="30"/>
        </w:rPr>
        <w:t>，I～II类水质比例稳中有升。环境空气质量总体保持良好水平，空气质量优良率</w:t>
      </w:r>
      <w:r>
        <w:rPr>
          <w:rFonts w:ascii="仿宋_GB2312" w:hAnsi="仿宋_GB2312" w:cs="仿宋_GB2312"/>
          <w:szCs w:val="30"/>
        </w:rPr>
        <w:t>100%</w:t>
      </w:r>
      <w:r>
        <w:rPr>
          <w:rFonts w:hint="eastAsia" w:eastAsia="仿宋_GB2312"/>
          <w:kern w:val="2"/>
          <w:szCs w:val="30"/>
        </w:rPr>
        <w:t>（去年同期</w:t>
      </w:r>
      <w:r>
        <w:rPr>
          <w:rFonts w:ascii="仿宋_GB2312" w:hAnsi="仿宋_GB2312" w:cs="仿宋_GB2312"/>
          <w:szCs w:val="30"/>
        </w:rPr>
        <w:t>99.2%</w:t>
      </w:r>
      <w:r>
        <w:rPr>
          <w:rFonts w:hint="eastAsia" w:eastAsia="仿宋_GB2312"/>
          <w:kern w:val="2"/>
          <w:szCs w:val="30"/>
        </w:rPr>
        <w:t>），优</w:t>
      </w:r>
      <w:r>
        <w:rPr>
          <w:rFonts w:ascii="仿宋_GB2312" w:hAnsi="仿宋_GB2312" w:cs="仿宋_GB2312"/>
          <w:szCs w:val="30"/>
        </w:rPr>
        <w:t>259</w:t>
      </w:r>
      <w:r>
        <w:rPr>
          <w:rFonts w:hint="eastAsia" w:eastAsia="仿宋_GB2312"/>
          <w:kern w:val="2"/>
          <w:szCs w:val="30"/>
        </w:rPr>
        <w:t>天，良</w:t>
      </w:r>
      <w:r>
        <w:rPr>
          <w:rFonts w:ascii="仿宋_GB2312" w:hAnsi="仿宋_GB2312" w:cs="仿宋_GB2312"/>
          <w:szCs w:val="30"/>
        </w:rPr>
        <w:t>10</w:t>
      </w:r>
      <w:bookmarkStart w:id="19" w:name="_Hlk102233569"/>
      <w:r>
        <w:rPr>
          <w:rFonts w:ascii="仿宋_GB2312" w:hAnsi="仿宋_GB2312" w:cs="仿宋_GB2312"/>
          <w:szCs w:val="30"/>
        </w:rPr>
        <w:t>4</w:t>
      </w:r>
      <w:bookmarkEnd w:id="19"/>
      <w:r>
        <w:rPr>
          <w:rFonts w:hint="eastAsia" w:eastAsia="仿宋_GB2312"/>
          <w:kern w:val="2"/>
          <w:szCs w:val="30"/>
        </w:rPr>
        <w:t>天，综合指数为</w:t>
      </w:r>
      <w:r>
        <w:rPr>
          <w:rFonts w:ascii="仿宋_GB2312" w:hAnsi="仿宋_GB2312" w:cs="仿宋_GB2312"/>
          <w:szCs w:val="30"/>
        </w:rPr>
        <w:t>2.47</w:t>
      </w:r>
      <w:r>
        <w:rPr>
          <w:rFonts w:hint="eastAsia" w:eastAsia="仿宋_GB2312"/>
          <w:kern w:val="2"/>
          <w:szCs w:val="30"/>
        </w:rPr>
        <w:t>，细颗粒物等六项污染物指标达到国家二级标准。闽侯县城达标区环境噪声达到《声环境质量标准》</w:t>
      </w:r>
      <w:r>
        <w:rPr>
          <w:rFonts w:ascii="仿宋_GB2312" w:hAnsi="仿宋_GB2312" w:cs="仿宋_GB2312"/>
          <w:szCs w:val="30"/>
        </w:rPr>
        <w:t>3</w:t>
      </w:r>
      <w:r>
        <w:rPr>
          <w:rFonts w:hint="eastAsia" w:eastAsia="仿宋_GB2312"/>
          <w:kern w:val="2"/>
          <w:szCs w:val="30"/>
        </w:rPr>
        <w:t>类标准，环境噪声质量良好。同时印发《闽侯县</w:t>
      </w:r>
      <w:r>
        <w:rPr>
          <w:rFonts w:ascii="仿宋_GB2312" w:hAnsi="仿宋_GB2312" w:cs="仿宋_GB2312"/>
          <w:szCs w:val="30"/>
        </w:rPr>
        <w:t>2021</w:t>
      </w:r>
      <w:r>
        <w:rPr>
          <w:rFonts w:hint="eastAsia" w:eastAsia="仿宋_GB2312"/>
          <w:kern w:val="2"/>
          <w:szCs w:val="30"/>
        </w:rPr>
        <w:t>年“绿盈乡村”工作方案》，进一步推动我县“绿盈乡村”建设工作。完成</w:t>
      </w:r>
      <w:r>
        <w:rPr>
          <w:rFonts w:ascii="仿宋_GB2312" w:hAnsi="仿宋_GB2312" w:cs="仿宋_GB2312"/>
          <w:szCs w:val="30"/>
        </w:rPr>
        <w:t>31</w:t>
      </w:r>
      <w:r>
        <w:rPr>
          <w:rFonts w:hint="eastAsia" w:eastAsia="仿宋_GB2312"/>
          <w:kern w:val="2"/>
          <w:szCs w:val="30"/>
        </w:rPr>
        <w:t>个初级版、</w:t>
      </w:r>
      <w:r>
        <w:rPr>
          <w:rFonts w:ascii="仿宋_GB2312" w:hAnsi="仿宋_GB2312" w:cs="仿宋_GB2312"/>
          <w:szCs w:val="30"/>
        </w:rPr>
        <w:t>12</w:t>
      </w:r>
      <w:r>
        <w:rPr>
          <w:rFonts w:hint="eastAsia" w:eastAsia="仿宋_GB2312"/>
          <w:kern w:val="2"/>
          <w:szCs w:val="30"/>
        </w:rPr>
        <w:t>个中级版“绿盈乡村”评估认定以及</w:t>
      </w:r>
      <w:r>
        <w:rPr>
          <w:rFonts w:ascii="仿宋_GB2312" w:hAnsi="仿宋_GB2312" w:cs="仿宋_GB2312"/>
          <w:szCs w:val="30"/>
        </w:rPr>
        <w:t>10</w:t>
      </w:r>
      <w:r>
        <w:rPr>
          <w:rFonts w:hint="eastAsia" w:eastAsia="仿宋_GB2312"/>
          <w:kern w:val="2"/>
          <w:szCs w:val="30"/>
        </w:rPr>
        <w:t>个高级版“绿盈乡村”推荐上报，廷坪乡汶合村典型案例被市里采纳。</w:t>
      </w:r>
    </w:p>
    <w:p w14:paraId="666990DB">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2.持续打好污染防治攻坚战</w:t>
      </w:r>
    </w:p>
    <w:p w14:paraId="60CB1CEC">
      <w:pPr>
        <w:pStyle w:val="33"/>
        <w:spacing w:line="600" w:lineRule="exact"/>
        <w:ind w:firstLine="640"/>
        <w:rPr>
          <w:rFonts w:eastAsia="仿宋_GB2312"/>
          <w:kern w:val="2"/>
          <w:szCs w:val="30"/>
        </w:rPr>
      </w:pPr>
      <w:r>
        <w:rPr>
          <w:rFonts w:hint="eastAsia" w:eastAsia="仿宋_GB2312"/>
          <w:kern w:val="2"/>
          <w:szCs w:val="30"/>
        </w:rPr>
        <w:t>一是打好碧水保卫战。完成闽江流域禁止和限制排污区内入河排放口整治工作，持续加强县域内重点流域水质管控工作，开展大樟溪流域水质提升工作，完成大樟溪闽侯南通段</w:t>
      </w:r>
      <w:r>
        <w:rPr>
          <w:rFonts w:ascii="仿宋_GB2312" w:hAnsi="仿宋_GB2312" w:cs="仿宋_GB2312"/>
          <w:szCs w:val="30"/>
        </w:rPr>
        <w:t>5</w:t>
      </w:r>
      <w:r>
        <w:rPr>
          <w:rFonts w:hint="eastAsia" w:eastAsia="仿宋_GB2312"/>
          <w:kern w:val="2"/>
          <w:szCs w:val="30"/>
        </w:rPr>
        <w:t>个方面问题整改，大樟溪口断面水质有所好转；攻坚源里溪流域整治，实施源里溪入河排放口整治工程，源里溪断面年度水质均值达标；组织完成闽侯县洋里乡</w:t>
      </w:r>
      <w:r>
        <w:rPr>
          <w:rFonts w:ascii="仿宋_GB2312" w:hAnsi="仿宋_GB2312" w:cs="仿宋_GB2312"/>
          <w:szCs w:val="30"/>
        </w:rPr>
        <w:t>4</w:t>
      </w:r>
      <w:r>
        <w:rPr>
          <w:rFonts w:hint="eastAsia" w:eastAsia="仿宋_GB2312"/>
          <w:kern w:val="2"/>
          <w:szCs w:val="30"/>
        </w:rPr>
        <w:t>个千人以上农村集中式饮用水源地划定及农村“千吨万人”水源地</w:t>
      </w:r>
      <w:r>
        <w:rPr>
          <w:rFonts w:hint="eastAsia" w:ascii="仿宋_GB2312" w:hAnsi="仿宋_GB2312" w:cs="仿宋_GB2312"/>
          <w:szCs w:val="30"/>
        </w:rPr>
        <w:t>1</w:t>
      </w:r>
      <w:r>
        <w:rPr>
          <w:rFonts w:ascii="仿宋_GB2312" w:hAnsi="仿宋_GB2312" w:cs="仿宋_GB2312"/>
          <w:szCs w:val="30"/>
        </w:rPr>
        <w:t>1</w:t>
      </w:r>
      <w:r>
        <w:rPr>
          <w:rFonts w:hint="eastAsia" w:eastAsia="仿宋_GB2312"/>
          <w:kern w:val="2"/>
          <w:szCs w:val="30"/>
        </w:rPr>
        <w:t>个环境问题整治工作。二是打好蓝天攻坚战。制定并实施《持续提升闽侯县环境空气质量</w:t>
      </w:r>
      <w:r>
        <w:rPr>
          <w:rFonts w:ascii="仿宋_GB2312" w:hAnsi="仿宋_GB2312" w:cs="仿宋_GB2312"/>
          <w:szCs w:val="30"/>
        </w:rPr>
        <w:t>2021</w:t>
      </w:r>
      <w:r>
        <w:rPr>
          <w:rFonts w:hint="eastAsia" w:eastAsia="仿宋_GB2312"/>
          <w:kern w:val="2"/>
          <w:szCs w:val="30"/>
        </w:rPr>
        <w:t>年度实施方案》、《</w:t>
      </w:r>
      <w:r>
        <w:rPr>
          <w:rFonts w:ascii="仿宋_GB2312" w:hAnsi="仿宋_GB2312" w:cs="仿宋_GB2312"/>
          <w:szCs w:val="30"/>
        </w:rPr>
        <w:t>2021</w:t>
      </w:r>
      <w:r>
        <w:rPr>
          <w:rFonts w:hint="eastAsia" w:eastAsia="仿宋_GB2312"/>
          <w:kern w:val="2"/>
          <w:szCs w:val="30"/>
        </w:rPr>
        <w:t>年闽侯县提升空气质量行动计划》及《闽侯县</w:t>
      </w:r>
      <w:bookmarkStart w:id="20" w:name="_Hlk102233132"/>
      <w:r>
        <w:rPr>
          <w:rFonts w:ascii="仿宋_GB2312" w:hAnsi="仿宋_GB2312" w:cs="仿宋_GB2312"/>
          <w:szCs w:val="30"/>
        </w:rPr>
        <w:t>2021</w:t>
      </w:r>
      <w:r>
        <w:rPr>
          <w:rFonts w:hint="eastAsia" w:eastAsia="仿宋_GB2312"/>
          <w:kern w:val="2"/>
          <w:szCs w:val="30"/>
        </w:rPr>
        <w:t>年</w:t>
      </w:r>
      <w:bookmarkEnd w:id="20"/>
      <w:r>
        <w:rPr>
          <w:rFonts w:hint="eastAsia" w:eastAsia="仿宋_GB2312"/>
          <w:kern w:val="2"/>
          <w:szCs w:val="30"/>
        </w:rPr>
        <w:t>秋冬季颗粒物污染防治百日攻坚行动方案》、《青口片区攻坚方案》和《甘蔗地区“利剑”行动》等一系列行动计划，进一步强化任务分工，建立健全监督考核机制，确保责任落实；多部门联合开展锅炉淘汰专项整治工作；积极开展低碳发展理念宣传活动及低碳社区试点创建工作；持续深入开展重点行业</w:t>
      </w:r>
      <w:bookmarkStart w:id="21" w:name="_Hlk102233768"/>
      <w:r>
        <w:rPr>
          <w:rFonts w:ascii="仿宋_GB2312" w:hAnsi="仿宋_GB2312" w:cs="仿宋_GB2312"/>
          <w:szCs w:val="30"/>
        </w:rPr>
        <w:t>VOC</w:t>
      </w:r>
      <w:r>
        <w:rPr>
          <w:rFonts w:hint="eastAsia" w:ascii="仿宋_GB2312" w:hAnsi="仿宋_GB2312" w:cs="仿宋_GB2312"/>
          <w:szCs w:val="30"/>
        </w:rPr>
        <w:t>s</w:t>
      </w:r>
      <w:bookmarkEnd w:id="21"/>
      <w:r>
        <w:rPr>
          <w:rFonts w:hint="eastAsia" w:eastAsia="仿宋_GB2312"/>
          <w:kern w:val="2"/>
          <w:szCs w:val="30"/>
        </w:rPr>
        <w:t>治理、县域扬尘整治专项联合督查行动等举措，不断提升我县环境空气质量，大气治理工作成效信息被国家生态环境部政务网连续两次刊登推广。三是打好净土保卫战。督促疑似污染地块所有权人开展土壤污染状况调查；督促土壤污染重点监管企业严格落实《土壤法》相关法律责任；推进</w:t>
      </w:r>
      <w:r>
        <w:rPr>
          <w:rFonts w:ascii="仿宋_GB2312" w:hAnsi="仿宋_GB2312" w:cs="仿宋_GB2312"/>
          <w:szCs w:val="30"/>
        </w:rPr>
        <w:t>32</w:t>
      </w:r>
      <w:r>
        <w:rPr>
          <w:rFonts w:hint="eastAsia" w:eastAsia="仿宋_GB2312"/>
          <w:kern w:val="2"/>
          <w:szCs w:val="30"/>
        </w:rPr>
        <w:t>个村庄完成农村生活污水提升治理；动态更新农村黑臭水体清单；开展工业企业固废危废管理和县内辐射安全检查工作；持续开展危险废物专项整治三年行动；开展医疗机构医疗废物监管工作，完成</w:t>
      </w:r>
      <w:bookmarkStart w:id="22" w:name="_Hlk102233246"/>
      <w:r>
        <w:rPr>
          <w:rFonts w:ascii="仿宋_GB2312" w:hAnsi="仿宋_GB2312" w:cs="仿宋_GB2312"/>
          <w:szCs w:val="30"/>
        </w:rPr>
        <w:t>3</w:t>
      </w:r>
      <w:bookmarkEnd w:id="22"/>
      <w:r>
        <w:rPr>
          <w:rFonts w:ascii="仿宋_GB2312" w:hAnsi="仿宋_GB2312" w:cs="仿宋_GB2312"/>
          <w:szCs w:val="30"/>
        </w:rPr>
        <w:t>2</w:t>
      </w:r>
      <w:r>
        <w:rPr>
          <w:rFonts w:hint="eastAsia" w:eastAsia="仿宋_GB2312"/>
          <w:kern w:val="2"/>
          <w:szCs w:val="30"/>
        </w:rPr>
        <w:t>家医疗机构医疗废物医废管理计划备案、电子台账申报并规范运行医疗废物电子转移联单等信息化管理工作；完成闽侯县辐射事故应急预案编制工作；开展工业企业排污权核定和收储工作。</w:t>
      </w:r>
    </w:p>
    <w:p w14:paraId="4A2EFA2F">
      <w:pPr>
        <w:pStyle w:val="33"/>
        <w:spacing w:line="600" w:lineRule="exact"/>
        <w:ind w:firstLine="640"/>
        <w:rPr>
          <w:rFonts w:eastAsia="仿宋_GB2312"/>
          <w:kern w:val="2"/>
          <w:szCs w:val="30"/>
        </w:rPr>
      </w:pPr>
    </w:p>
    <w:p w14:paraId="07978590">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3.开展多项专项整治行动</w:t>
      </w:r>
    </w:p>
    <w:p w14:paraId="60317AC1">
      <w:pPr>
        <w:pStyle w:val="33"/>
        <w:spacing w:line="600" w:lineRule="exact"/>
        <w:ind w:firstLine="640"/>
        <w:rPr>
          <w:rFonts w:eastAsia="仿宋_GB2312"/>
          <w:kern w:val="2"/>
          <w:szCs w:val="30"/>
        </w:rPr>
      </w:pPr>
      <w:r>
        <w:rPr>
          <w:rFonts w:hint="eastAsia" w:eastAsia="仿宋_GB2312"/>
          <w:kern w:val="2"/>
          <w:szCs w:val="30"/>
        </w:rPr>
        <w:t>深入推进“散乱污”企业综合整治。关停取缔</w:t>
      </w:r>
      <w:r>
        <w:rPr>
          <w:rFonts w:ascii="仿宋_GB2312" w:hAnsi="仿宋_GB2312" w:cs="仿宋_GB2312"/>
          <w:szCs w:val="30"/>
        </w:rPr>
        <w:t>382</w:t>
      </w:r>
      <w:r>
        <w:rPr>
          <w:rFonts w:hint="eastAsia" w:eastAsia="仿宋_GB2312"/>
          <w:kern w:val="2"/>
          <w:szCs w:val="30"/>
        </w:rPr>
        <w:t>家，整合搬迁</w:t>
      </w:r>
      <w:r>
        <w:rPr>
          <w:rFonts w:ascii="仿宋_GB2312" w:hAnsi="仿宋_GB2312" w:cs="仿宋_GB2312"/>
          <w:szCs w:val="30"/>
        </w:rPr>
        <w:t>7</w:t>
      </w:r>
      <w:r>
        <w:rPr>
          <w:rFonts w:hint="eastAsia" w:eastAsia="仿宋_GB2312"/>
          <w:kern w:val="2"/>
          <w:szCs w:val="30"/>
        </w:rPr>
        <w:t>家，升级改造</w:t>
      </w:r>
      <w:r>
        <w:rPr>
          <w:rFonts w:ascii="仿宋_GB2312" w:hAnsi="仿宋_GB2312" w:cs="仿宋_GB2312"/>
          <w:szCs w:val="30"/>
        </w:rPr>
        <w:t>386</w:t>
      </w:r>
      <w:r>
        <w:rPr>
          <w:rFonts w:hint="eastAsia" w:eastAsia="仿宋_GB2312"/>
          <w:kern w:val="2"/>
          <w:szCs w:val="30"/>
        </w:rPr>
        <w:t>家，拆除违法建筑</w:t>
      </w:r>
      <w:r>
        <w:rPr>
          <w:rFonts w:ascii="仿宋_GB2312" w:hAnsi="仿宋_GB2312" w:cs="仿宋_GB2312"/>
          <w:szCs w:val="30"/>
        </w:rPr>
        <w:t>162</w:t>
      </w:r>
      <w:r>
        <w:rPr>
          <w:rFonts w:hint="eastAsia" w:eastAsia="仿宋_GB2312"/>
          <w:kern w:val="2"/>
          <w:szCs w:val="30"/>
        </w:rPr>
        <w:t>宗，拆除总面积约</w:t>
      </w:r>
      <w:r>
        <w:rPr>
          <w:rFonts w:ascii="仿宋_GB2312" w:hAnsi="仿宋_GB2312" w:cs="仿宋_GB2312"/>
          <w:szCs w:val="30"/>
        </w:rPr>
        <w:t>16.5</w:t>
      </w:r>
      <w:r>
        <w:rPr>
          <w:rFonts w:hint="eastAsia" w:eastAsia="仿宋_GB2312"/>
          <w:kern w:val="2"/>
          <w:szCs w:val="30"/>
        </w:rPr>
        <w:t>万平方米，立案查处涉“散乱污”整治案件24起。整治成效初步显现，</w:t>
      </w:r>
      <w:r>
        <w:rPr>
          <w:rFonts w:ascii="仿宋_GB2312" w:hAnsi="仿宋_GB2312" w:cs="仿宋_GB2312"/>
          <w:szCs w:val="30"/>
        </w:rPr>
        <w:t>12369</w:t>
      </w:r>
      <w:r>
        <w:rPr>
          <w:rFonts w:hint="eastAsia" w:eastAsia="仿宋_GB2312"/>
          <w:kern w:val="2"/>
          <w:szCs w:val="30"/>
        </w:rPr>
        <w:t>信访投诉件较往年下降</w:t>
      </w:r>
      <w:r>
        <w:rPr>
          <w:rFonts w:ascii="仿宋_GB2312" w:hAnsi="仿宋_GB2312" w:cs="仿宋_GB2312"/>
          <w:szCs w:val="30"/>
        </w:rPr>
        <w:t>31.3%</w:t>
      </w:r>
      <w:r>
        <w:rPr>
          <w:rFonts w:hint="eastAsia" w:eastAsia="仿宋_GB2312"/>
          <w:kern w:val="2"/>
          <w:szCs w:val="30"/>
        </w:rPr>
        <w:t>；鸿尾乡“散乱污”整治典型案例被中国环境报报道宣传。在全市年度考评中排名第一档，整治工作受到国家、省、市认可和推广。</w:t>
      </w:r>
    </w:p>
    <w:p w14:paraId="12BBC5DE">
      <w:pPr>
        <w:pStyle w:val="33"/>
        <w:spacing w:line="600" w:lineRule="exact"/>
        <w:ind w:firstLine="640"/>
        <w:rPr>
          <w:rFonts w:eastAsia="仿宋_GB2312"/>
          <w:kern w:val="2"/>
          <w:szCs w:val="30"/>
        </w:rPr>
      </w:pPr>
      <w:r>
        <w:rPr>
          <w:rFonts w:hint="eastAsia" w:eastAsia="仿宋_GB2312"/>
          <w:kern w:val="2"/>
          <w:szCs w:val="30"/>
        </w:rPr>
        <w:t>全面做好数字峰会和世遗大会环境质量保障工作。</w:t>
      </w:r>
      <w:bookmarkStart w:id="23" w:name="_Hlk102005254"/>
      <w:r>
        <w:rPr>
          <w:rFonts w:hint="eastAsia" w:eastAsia="仿宋_GB2312"/>
          <w:kern w:val="2"/>
          <w:szCs w:val="30"/>
        </w:rPr>
        <w:t>会议保障期间安排人员加强巡查管控，共出动执法人员</w:t>
      </w:r>
      <w:r>
        <w:rPr>
          <w:rFonts w:ascii="仿宋_GB2312" w:hAnsi="仿宋_GB2312" w:cs="仿宋_GB2312"/>
          <w:szCs w:val="30"/>
        </w:rPr>
        <w:t>300</w:t>
      </w:r>
      <w:r>
        <w:rPr>
          <w:rFonts w:hint="eastAsia" w:eastAsia="仿宋_GB2312"/>
          <w:kern w:val="2"/>
          <w:szCs w:val="30"/>
        </w:rPr>
        <w:t>多人次对大气重点管控企业、加油站、饮用水源地等重点单位开展保障工作，圆满完成我县环境质量保障工作</w:t>
      </w:r>
      <w:bookmarkEnd w:id="23"/>
      <w:r>
        <w:rPr>
          <w:rFonts w:hint="eastAsia" w:eastAsia="仿宋_GB2312"/>
          <w:kern w:val="2"/>
          <w:szCs w:val="30"/>
        </w:rPr>
        <w:t>。强化应急响应，根据《闽侯县轻微污染天气应对办法》及《闽侯县臭氧污染防治工作方案》，结合空气质量预测预警会商结论，实时启动臭氧污染二级或一级响应，积极采取各类大气污染防治措施。</w:t>
      </w:r>
    </w:p>
    <w:p w14:paraId="3F92D5F0">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4.不断提升环境执法能力和提效环保审批</w:t>
      </w:r>
    </w:p>
    <w:p w14:paraId="29187C3B">
      <w:pPr>
        <w:pStyle w:val="33"/>
        <w:spacing w:line="600" w:lineRule="exact"/>
        <w:ind w:firstLine="640"/>
        <w:rPr>
          <w:rFonts w:eastAsia="仿宋_GB2312"/>
          <w:kern w:val="2"/>
          <w:szCs w:val="30"/>
        </w:rPr>
      </w:pPr>
      <w:r>
        <w:rPr>
          <w:rFonts w:hint="eastAsia" w:eastAsia="仿宋_GB2312"/>
          <w:kern w:val="2"/>
          <w:szCs w:val="30"/>
        </w:rPr>
        <w:t>以生态环境执法大练兵为契机，将大练兵活动充分融合到日常监管、专项执法检查、群众信访等当前执法工作中，全年共立案查处环境违法案件</w:t>
      </w:r>
      <w:bookmarkStart w:id="24" w:name="_Hlk102232913"/>
      <w:r>
        <w:rPr>
          <w:rFonts w:ascii="仿宋_GB2312" w:hAnsi="仿宋_GB2312" w:cs="仿宋_GB2312"/>
          <w:szCs w:val="30"/>
        </w:rPr>
        <w:t>61</w:t>
      </w:r>
      <w:bookmarkEnd w:id="24"/>
      <w:r>
        <w:rPr>
          <w:rFonts w:hint="eastAsia" w:eastAsia="仿宋_GB2312"/>
          <w:kern w:val="2"/>
          <w:szCs w:val="30"/>
        </w:rPr>
        <w:t>起，其中办理行政处罚案件</w:t>
      </w:r>
      <w:r>
        <w:rPr>
          <w:rFonts w:ascii="仿宋_GB2312" w:hAnsi="仿宋_GB2312" w:cs="仿宋_GB2312"/>
          <w:szCs w:val="30"/>
        </w:rPr>
        <w:t>43</w:t>
      </w:r>
      <w:r>
        <w:rPr>
          <w:rFonts w:hint="eastAsia" w:eastAsia="仿宋_GB2312"/>
          <w:kern w:val="2"/>
          <w:szCs w:val="30"/>
        </w:rPr>
        <w:t>起，处罚金额</w:t>
      </w:r>
      <w:r>
        <w:rPr>
          <w:rFonts w:ascii="仿宋_GB2312" w:hAnsi="仿宋_GB2312" w:cs="仿宋_GB2312"/>
          <w:szCs w:val="30"/>
        </w:rPr>
        <w:t>136.917</w:t>
      </w:r>
      <w:r>
        <w:rPr>
          <w:rFonts w:hint="eastAsia" w:eastAsia="仿宋_GB2312"/>
          <w:kern w:val="2"/>
          <w:szCs w:val="30"/>
        </w:rPr>
        <w:t>万元；办理适用四个配套案件</w:t>
      </w:r>
      <w:r>
        <w:rPr>
          <w:rFonts w:ascii="仿宋_GB2312" w:hAnsi="仿宋_GB2312" w:cs="仿宋_GB2312"/>
          <w:szCs w:val="30"/>
        </w:rPr>
        <w:t>18</w:t>
      </w:r>
      <w:r>
        <w:rPr>
          <w:rFonts w:hint="eastAsia" w:eastAsia="仿宋_GB2312"/>
          <w:kern w:val="2"/>
          <w:szCs w:val="30"/>
        </w:rPr>
        <w:t>起（其中拟移送行政拘留</w:t>
      </w:r>
      <w:r>
        <w:rPr>
          <w:rFonts w:ascii="仿宋_GB2312" w:hAnsi="仿宋_GB2312" w:cs="仿宋_GB2312"/>
          <w:szCs w:val="30"/>
        </w:rPr>
        <w:t>1</w:t>
      </w:r>
      <w:r>
        <w:rPr>
          <w:rFonts w:hint="eastAsia" w:eastAsia="仿宋_GB2312"/>
          <w:kern w:val="2"/>
          <w:szCs w:val="30"/>
        </w:rPr>
        <w:t>起、查封扣押</w:t>
      </w:r>
      <w:r>
        <w:rPr>
          <w:rFonts w:ascii="仿宋_GB2312" w:hAnsi="仿宋_GB2312" w:cs="仿宋_GB2312"/>
          <w:szCs w:val="30"/>
        </w:rPr>
        <w:t>17</w:t>
      </w:r>
      <w:r>
        <w:rPr>
          <w:rFonts w:hint="eastAsia" w:eastAsia="仿宋_GB2312"/>
          <w:kern w:val="2"/>
          <w:szCs w:val="30"/>
        </w:rPr>
        <w:t>起）；同时，扎实推进“静夜守护”夜间噪声整治专项行动、畜禽整治专项检查、环境信访查处、环保网格化监管等工作，信访件办结率</w:t>
      </w:r>
      <w:r>
        <w:rPr>
          <w:rFonts w:ascii="仿宋_GB2312" w:hAnsi="仿宋_GB2312" w:cs="仿宋_GB2312"/>
          <w:szCs w:val="30"/>
        </w:rPr>
        <w:t>100%</w:t>
      </w:r>
      <w:r>
        <w:rPr>
          <w:rFonts w:hint="eastAsia" w:eastAsia="仿宋_GB2312"/>
          <w:kern w:val="2"/>
          <w:szCs w:val="30"/>
        </w:rPr>
        <w:t>。持续做好环境监督监测工作，建立健全监测监察执法有效联动机制。</w:t>
      </w:r>
    </w:p>
    <w:p w14:paraId="182A17F4">
      <w:pPr>
        <w:pStyle w:val="33"/>
        <w:spacing w:line="600" w:lineRule="exact"/>
        <w:ind w:firstLine="640"/>
        <w:rPr>
          <w:rFonts w:eastAsia="仿宋_GB2312"/>
          <w:kern w:val="2"/>
          <w:szCs w:val="30"/>
        </w:rPr>
      </w:pPr>
      <w:r>
        <w:rPr>
          <w:rFonts w:hint="eastAsia" w:eastAsia="仿宋_GB2312"/>
          <w:kern w:val="2"/>
          <w:szCs w:val="30"/>
        </w:rPr>
        <w:t>持续深化“放管服”改革，打出审批改革十招“组合拳”，进一步优化闽侯营商环境，全力推进环保审批提效工作，实现审批办理标准化、精简化、网络化。全年共完成建设项目环评审批</w:t>
      </w:r>
      <w:r>
        <w:rPr>
          <w:rFonts w:ascii="仿宋_GB2312" w:hAnsi="仿宋_GB2312" w:cs="仿宋_GB2312"/>
          <w:szCs w:val="30"/>
        </w:rPr>
        <w:t>170</w:t>
      </w:r>
      <w:r>
        <w:rPr>
          <w:rFonts w:hint="eastAsia" w:eastAsia="仿宋_GB2312"/>
          <w:kern w:val="2"/>
          <w:szCs w:val="30"/>
        </w:rPr>
        <w:t>件、登记表备案</w:t>
      </w:r>
      <w:r>
        <w:rPr>
          <w:rFonts w:ascii="仿宋_GB2312" w:hAnsi="仿宋_GB2312" w:cs="仿宋_GB2312"/>
          <w:szCs w:val="30"/>
        </w:rPr>
        <w:t>128</w:t>
      </w:r>
      <w:r>
        <w:rPr>
          <w:rFonts w:hint="eastAsia" w:eastAsia="仿宋_GB2312"/>
          <w:kern w:val="2"/>
          <w:szCs w:val="30"/>
        </w:rPr>
        <w:t>件；办理排污许可证</w:t>
      </w:r>
      <w:r>
        <w:rPr>
          <w:rFonts w:ascii="仿宋_GB2312" w:hAnsi="仿宋_GB2312" w:cs="仿宋_GB2312"/>
          <w:szCs w:val="30"/>
        </w:rPr>
        <w:t>54</w:t>
      </w:r>
      <w:r>
        <w:rPr>
          <w:rFonts w:hint="eastAsia" w:eastAsia="仿宋_GB2312"/>
          <w:kern w:val="2"/>
          <w:szCs w:val="30"/>
        </w:rPr>
        <w:t>件；审批夜午间建筑施工作业</w:t>
      </w:r>
      <w:r>
        <w:rPr>
          <w:rFonts w:ascii="仿宋_GB2312" w:hAnsi="仿宋_GB2312" w:cs="仿宋_GB2312"/>
          <w:szCs w:val="30"/>
        </w:rPr>
        <w:t>365</w:t>
      </w:r>
      <w:r>
        <w:rPr>
          <w:rFonts w:hint="eastAsia" w:eastAsia="仿宋_GB2312"/>
          <w:kern w:val="2"/>
          <w:szCs w:val="30"/>
        </w:rPr>
        <w:t>件；办理危险废物经营许可证</w:t>
      </w:r>
      <w:r>
        <w:rPr>
          <w:rFonts w:ascii="仿宋_GB2312" w:hAnsi="仿宋_GB2312" w:cs="仿宋_GB2312"/>
          <w:szCs w:val="30"/>
        </w:rPr>
        <w:t>1</w:t>
      </w:r>
      <w:r>
        <w:rPr>
          <w:rFonts w:hint="eastAsia" w:eastAsia="仿宋_GB2312"/>
          <w:kern w:val="2"/>
          <w:szCs w:val="30"/>
        </w:rPr>
        <w:t>件。</w:t>
      </w:r>
    </w:p>
    <w:p w14:paraId="34F393A7">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5.扎实推进第一、二轮中督整改工作</w:t>
      </w:r>
    </w:p>
    <w:p w14:paraId="0AEF4B09">
      <w:pPr>
        <w:pStyle w:val="33"/>
        <w:spacing w:line="600" w:lineRule="exact"/>
        <w:ind w:firstLine="640"/>
        <w:rPr>
          <w:rFonts w:eastAsia="仿宋_GB2312"/>
          <w:kern w:val="2"/>
          <w:szCs w:val="30"/>
        </w:rPr>
      </w:pPr>
      <w:r>
        <w:rPr>
          <w:rFonts w:hint="eastAsia" w:eastAsia="仿宋_GB2312"/>
          <w:kern w:val="2"/>
          <w:szCs w:val="30"/>
        </w:rPr>
        <w:t>第一轮中央生态环保督察涉及闽侯的</w:t>
      </w:r>
      <w:r>
        <w:rPr>
          <w:rFonts w:hint="eastAsia" w:ascii="仿宋_GB2312" w:hAnsi="仿宋_GB2312" w:cs="仿宋_GB2312"/>
          <w:szCs w:val="30"/>
        </w:rPr>
        <w:t>1</w:t>
      </w:r>
      <w:r>
        <w:rPr>
          <w:rFonts w:ascii="仿宋_GB2312" w:hAnsi="仿宋_GB2312" w:cs="仿宋_GB2312"/>
          <w:szCs w:val="30"/>
        </w:rPr>
        <w:t>5</w:t>
      </w:r>
      <w:r>
        <w:rPr>
          <w:rFonts w:hint="eastAsia" w:eastAsia="仿宋_GB2312"/>
          <w:kern w:val="2"/>
          <w:szCs w:val="30"/>
        </w:rPr>
        <w:t>项整改任务，已经全部完成整改并交账销号；督察组交办的</w:t>
      </w:r>
      <w:r>
        <w:rPr>
          <w:rFonts w:ascii="仿宋_GB2312" w:hAnsi="仿宋_GB2312" w:cs="仿宋_GB2312"/>
          <w:szCs w:val="30"/>
        </w:rPr>
        <w:t>312</w:t>
      </w:r>
      <w:r>
        <w:rPr>
          <w:rFonts w:hint="eastAsia" w:eastAsia="仿宋_GB2312"/>
          <w:kern w:val="2"/>
          <w:szCs w:val="30"/>
        </w:rPr>
        <w:t>件信访件全部办结；第二轮中央生态环保督察涉及闽侯的</w:t>
      </w:r>
      <w:r>
        <w:rPr>
          <w:rFonts w:hint="eastAsia" w:ascii="仿宋_GB2312" w:hAnsi="仿宋_GB2312" w:cs="仿宋_GB2312"/>
          <w:szCs w:val="30"/>
        </w:rPr>
        <w:t>1</w:t>
      </w:r>
      <w:r>
        <w:rPr>
          <w:rFonts w:ascii="仿宋_GB2312" w:hAnsi="仿宋_GB2312" w:cs="仿宋_GB2312"/>
          <w:szCs w:val="30"/>
        </w:rPr>
        <w:t>1</w:t>
      </w:r>
      <w:r>
        <w:rPr>
          <w:rFonts w:hint="eastAsia" w:eastAsia="仿宋_GB2312"/>
          <w:kern w:val="2"/>
          <w:szCs w:val="30"/>
        </w:rPr>
        <w:t>项整改任务，均按序时进度推进，门口工业区突出环境问题完成整改；督察组交办的</w:t>
      </w:r>
      <w:r>
        <w:rPr>
          <w:rFonts w:ascii="仿宋_GB2312" w:hAnsi="仿宋_GB2312" w:cs="仿宋_GB2312"/>
          <w:szCs w:val="30"/>
        </w:rPr>
        <w:t>221</w:t>
      </w:r>
      <w:r>
        <w:rPr>
          <w:rFonts w:hint="eastAsia" w:eastAsia="仿宋_GB2312"/>
          <w:kern w:val="2"/>
          <w:szCs w:val="30"/>
        </w:rPr>
        <w:t>件信访件全部办结并销号。</w:t>
      </w:r>
    </w:p>
    <w:p w14:paraId="4FDB0A89">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6.开展小微企业危废收集试点工作</w:t>
      </w:r>
    </w:p>
    <w:p w14:paraId="29AE8E4A">
      <w:pPr>
        <w:pStyle w:val="33"/>
        <w:spacing w:line="600" w:lineRule="exact"/>
        <w:ind w:firstLine="640"/>
        <w:rPr>
          <w:rFonts w:eastAsia="仿宋_GB2312"/>
          <w:kern w:val="2"/>
          <w:szCs w:val="30"/>
        </w:rPr>
      </w:pPr>
      <w:r>
        <w:rPr>
          <w:rFonts w:hint="eastAsia" w:eastAsia="仿宋_GB2312"/>
          <w:kern w:val="2"/>
          <w:szCs w:val="30"/>
        </w:rPr>
        <w:t>为进一步解决闽侯县范围内小微产废企事业产生危险废物量少、管理不规范、转移处置难、费用高等问题，消除环境安全隐患，推进产废单位落实危险废物污染防治的主体责任，根据国务院、省生态环境厅相关文件精神，</w:t>
      </w:r>
      <w:r>
        <w:rPr>
          <w:rFonts w:hint="eastAsia" w:eastAsia="仿宋_GB2312"/>
          <w:color w:val="0000FF"/>
          <w:kern w:val="2"/>
          <w:szCs w:val="30"/>
        </w:rPr>
        <w:t>推进小微企业危险废物集中收集试点工作。</w:t>
      </w:r>
    </w:p>
    <w:p w14:paraId="22499561">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7.全力开展疫情防控工作</w:t>
      </w:r>
    </w:p>
    <w:p w14:paraId="1DCDD0B0">
      <w:pPr>
        <w:pStyle w:val="33"/>
        <w:spacing w:line="600" w:lineRule="exact"/>
        <w:ind w:firstLine="640"/>
        <w:rPr>
          <w:rFonts w:eastAsia="仿宋_GB2312"/>
          <w:kern w:val="2"/>
          <w:szCs w:val="30"/>
        </w:rPr>
      </w:pPr>
      <w:r>
        <w:rPr>
          <w:rFonts w:hint="eastAsia" w:eastAsia="仿宋_GB2312"/>
          <w:kern w:val="2"/>
          <w:szCs w:val="30"/>
        </w:rPr>
        <w:t>全力做好新型冠状病毒疫情应急保障工作，组织出动一线环境执法人员</w:t>
      </w:r>
      <w:r>
        <w:rPr>
          <w:rFonts w:ascii="仿宋_GB2312" w:hAnsi="仿宋_GB2312" w:cs="仿宋_GB2312"/>
          <w:szCs w:val="30"/>
        </w:rPr>
        <w:t>2000</w:t>
      </w:r>
      <w:r>
        <w:rPr>
          <w:rFonts w:hint="eastAsia" w:eastAsia="仿宋_GB2312"/>
          <w:kern w:val="2"/>
          <w:szCs w:val="30"/>
        </w:rPr>
        <w:t>多人次对全县医疗机构、医学隔离观察点、医废处置机构（福建省固体废物处置有限公司）开展常态化监管，涉疫垃圾处置的各项污染物稳定达标。组织开展福建省固体废物处置有限公司与闽侯县康恒再生能源有限公司涉疫垃圾协同处置应急演练，圆满完成福州市下达的疫情应急响应期间涉疫垃圾协同处置任务。</w:t>
      </w:r>
    </w:p>
    <w:p w14:paraId="21347A38">
      <w:pPr>
        <w:pStyle w:val="7"/>
        <w:spacing w:line="600" w:lineRule="exact"/>
        <w:ind w:firstLine="0" w:firstLineChars="0"/>
        <w:rPr>
          <w:rFonts w:ascii="黑体" w:hAnsi="黑体" w:eastAsia="黑体" w:cs="Times New Roman"/>
          <w:bCs w:val="0"/>
          <w:sz w:val="40"/>
          <w:szCs w:val="40"/>
        </w:rPr>
      </w:pPr>
      <w:bookmarkStart w:id="25" w:name="_Toc103936999"/>
      <w:bookmarkStart w:id="26" w:name="_Toc103937257"/>
      <w:r>
        <w:rPr>
          <w:rFonts w:ascii="黑体" w:hAnsi="黑体" w:eastAsia="黑体" w:cs="Times New Roman"/>
          <w:bCs w:val="0"/>
          <w:sz w:val="40"/>
          <w:szCs w:val="40"/>
        </w:rPr>
        <w:t>（</w:t>
      </w:r>
      <w:r>
        <w:rPr>
          <w:rFonts w:hint="eastAsia" w:ascii="黑体" w:hAnsi="黑体" w:eastAsia="黑体" w:cs="Times New Roman"/>
          <w:bCs w:val="0"/>
          <w:sz w:val="40"/>
          <w:szCs w:val="40"/>
        </w:rPr>
        <w:t>三</w:t>
      </w:r>
      <w:r>
        <w:rPr>
          <w:rFonts w:ascii="黑体" w:hAnsi="黑体" w:eastAsia="黑体" w:cs="Times New Roman"/>
          <w:bCs w:val="0"/>
          <w:sz w:val="40"/>
          <w:szCs w:val="40"/>
        </w:rPr>
        <w:t>）“十四五”生态环境面临的机遇和挑战</w:t>
      </w:r>
      <w:bookmarkEnd w:id="25"/>
      <w:bookmarkEnd w:id="26"/>
    </w:p>
    <w:p w14:paraId="33C632F6">
      <w:pPr>
        <w:widowControl/>
        <w:ind w:firstLine="640"/>
        <w:jc w:val="left"/>
        <w:rPr>
          <w:bCs/>
          <w:szCs w:val="30"/>
        </w:rPr>
      </w:pPr>
      <w:r>
        <w:rPr>
          <w:rFonts w:hint="eastAsia"/>
          <w:bCs/>
          <w:szCs w:val="30"/>
        </w:rPr>
        <w:t>“</w:t>
      </w:r>
      <w:r>
        <w:rPr>
          <w:bCs/>
          <w:szCs w:val="30"/>
        </w:rPr>
        <w:t>十四五</w:t>
      </w:r>
      <w:r>
        <w:rPr>
          <w:rFonts w:hint="eastAsia"/>
          <w:bCs/>
          <w:szCs w:val="30"/>
        </w:rPr>
        <w:t>”</w:t>
      </w:r>
      <w:r>
        <w:rPr>
          <w:bCs/>
          <w:szCs w:val="30"/>
        </w:rPr>
        <w:t>是</w:t>
      </w:r>
      <w:r>
        <w:rPr>
          <w:rFonts w:hint="eastAsia"/>
          <w:bCs/>
          <w:szCs w:val="30"/>
        </w:rPr>
        <w:t>闽侯县加快推进产业生态化和生态产业化、加快传统产业转型升级</w:t>
      </w:r>
      <w:r>
        <w:rPr>
          <w:bCs/>
          <w:szCs w:val="30"/>
        </w:rPr>
        <w:t>的重要时期，</w:t>
      </w:r>
      <w:r>
        <w:rPr>
          <w:rFonts w:hint="eastAsia"/>
          <w:bCs/>
          <w:szCs w:val="30"/>
        </w:rPr>
        <w:t>也是加快建设新时代滨江</w:t>
      </w:r>
      <w:r>
        <w:rPr>
          <w:bCs/>
          <w:szCs w:val="30"/>
        </w:rPr>
        <w:t>新城，全面推动闽侯高质量发展超越，加速建设活力闽侯、魅力闽侯、品质闽侯，提升全县人民生活福祉</w:t>
      </w:r>
      <w:r>
        <w:rPr>
          <w:rFonts w:hint="eastAsia"/>
          <w:bCs/>
          <w:szCs w:val="30"/>
        </w:rPr>
        <w:t>的重要时期</w:t>
      </w:r>
      <w:r>
        <w:rPr>
          <w:bCs/>
          <w:szCs w:val="30"/>
        </w:rPr>
        <w:t>。这一时期，环境保护既面临着严峻挑战，同时也迎来了难得的发展机遇。主要体现在：</w:t>
      </w:r>
    </w:p>
    <w:p w14:paraId="3C909D40">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1.国家生态文明示范建设全面部署</w:t>
      </w:r>
    </w:p>
    <w:p w14:paraId="05DCAFBA">
      <w:pPr>
        <w:spacing w:line="600" w:lineRule="exact"/>
        <w:ind w:firstLine="640"/>
        <w:rPr>
          <w:szCs w:val="30"/>
        </w:rPr>
      </w:pPr>
      <w:r>
        <w:rPr>
          <w:rFonts w:hint="eastAsia"/>
          <w:szCs w:val="30"/>
        </w:rPr>
        <w:t>党中央、国务院高度重视生态文明建设，党的十八大报告把生态文明建设纳入中国特色社会主义事业“五位一体”总体布局，首次把“美丽中国”作为生态文明建设的宏伟目标。中共中央、国务院出台《生态文明体制改革总体方案》，加快建立系统完整的生态文明制度体系，加快推进生态文明建设，增强生态文明体制改革的系统性、整体性、协同性。党的十九大报告指出“建设生态文明是中华民族永续发展的千年大计”，提出“形成绿色发展方式和生活方式，坚定走生产发展、生活富裕、生态良好的文明发展道路，建设美丽中国，为人民创造良好生产生活环境，为全球生态安全做出贡献”的社会主义新时代建设要求。中共中央办公厅、国务院办公厅印发了《关于设立统一规范的国家生态文明试验区的意见》及《国家生态文明试验区（福建）实施方案》，福建成为全国首个生态文明试验区。这些都为深入实施生态文明示范建设，改善环境质量，实施机制体制创新，走有质量、有效益、可持续的绿色发展道路提供良好的政治基础。</w:t>
      </w:r>
    </w:p>
    <w:p w14:paraId="72E6C0D4">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2.始终把生态文明建设放在突出位置</w:t>
      </w:r>
    </w:p>
    <w:p w14:paraId="79183CCD">
      <w:pPr>
        <w:widowControl/>
        <w:ind w:firstLine="640"/>
        <w:jc w:val="left"/>
        <w:rPr>
          <w:szCs w:val="30"/>
        </w:rPr>
      </w:pPr>
      <w:r>
        <w:rPr>
          <w:rFonts w:hint="eastAsia"/>
          <w:szCs w:val="30"/>
        </w:rPr>
        <w:t>闽侯县认真贯彻落实习近平同志在福建、福州工作提出的系列生态文明建设思路和重大决策部署，认真践行“保护生态环境就是保护生产力、改善生态环境就是发展生产力”的理念，多年来，始终把环境质量纳入民生福祉建设内容，把生态环境优势看作县域经济发展优势的主要表现，决不以牺牲环境为代价去换取一时的经济增长。始终坚持发展生态效益型经济，充分挖掘闽侯生态资源优势，念好“山水经”，画好“山水画”，加快推进产业生态化和生态产业化，加快传统产业转型升级，落实主体功能区规划，严把产业政策关、资源消耗关、环境保护关，让好的生态释放更多的发展红利。始终统筹城乡生态环境治理，把老百姓的获得感、幸福感、安全感摆在优先位置，加强农业面源污染防治、内河整治、造林绿化、水土流失治理、防灾减灾、环境安全隐患排查、统筹城乡环保基础设施建设等。构建科学合理的生态空间体系、绿</w:t>
      </w:r>
      <w:r>
        <w:rPr>
          <w:szCs w:val="30"/>
        </w:rPr>
        <w:t xml:space="preserve">色低碳的生态经济体系、安全良好的生态环境体系、和谐宜居的生态生活体系、文明健康的生态文化体系和高效完善的生态制度体系，推进生态优先、绿色发展为导向的高质量发展，塑造具有闽侯特色、望山见水的新城风貌，打造生态文明试验先行区。 </w:t>
      </w:r>
    </w:p>
    <w:p w14:paraId="73D66A06">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w:t>
      </w:r>
      <w:r>
        <w:rPr>
          <w:rFonts w:ascii="黑体" w:hAnsi="黑体" w:eastAsia="黑体"/>
          <w:sz w:val="36"/>
          <w:szCs w:val="36"/>
        </w:rPr>
        <w:t>绿色发展深入人心</w:t>
      </w:r>
    </w:p>
    <w:p w14:paraId="50BE9167">
      <w:pPr>
        <w:ind w:firstLine="640"/>
        <w:rPr>
          <w:bCs/>
          <w:szCs w:val="30"/>
        </w:rPr>
      </w:pPr>
      <w:r>
        <w:rPr>
          <w:rFonts w:hint="eastAsia"/>
          <w:bCs/>
          <w:szCs w:val="30"/>
        </w:rPr>
        <w:t>“十四五”</w:t>
      </w:r>
      <w:r>
        <w:rPr>
          <w:bCs/>
          <w:szCs w:val="30"/>
        </w:rPr>
        <w:t>把保护生态环境摆在更加突出的位置，人与自然是生命共同体、绿水青山就是金山银山等理念正在牢固树立</w:t>
      </w:r>
      <w:r>
        <w:rPr>
          <w:rFonts w:hint="eastAsia"/>
          <w:bCs/>
          <w:szCs w:val="30"/>
        </w:rPr>
        <w:t>，</w:t>
      </w:r>
      <w:r>
        <w:rPr>
          <w:bCs/>
          <w:szCs w:val="30"/>
        </w:rPr>
        <w:t>抓环保就是抓可持续发展的观念逐步深入人心。</w:t>
      </w:r>
      <w:r>
        <w:rPr>
          <w:rFonts w:hint="eastAsia"/>
          <w:bCs/>
          <w:szCs w:val="30"/>
        </w:rPr>
        <w:t>闽侯县生态环境保护建设已成为福州生态环境保护建设的重要组成部分，已成为全县社会的共识。闽侯县将大力实施生态环境保护建设规划，夯实各项建设基础，以促进</w:t>
      </w:r>
      <w:r>
        <w:rPr>
          <w:bCs/>
          <w:szCs w:val="30"/>
        </w:rPr>
        <w:t>经济高质量发展、可持续发展</w:t>
      </w:r>
      <w:r>
        <w:rPr>
          <w:rFonts w:hint="eastAsia"/>
          <w:bCs/>
          <w:szCs w:val="30"/>
        </w:rPr>
        <w:t>，努力推动形成人与自然和谐发展现代化新格局。在可预计的未来，随着闽侯县持续打造山水林田湖草“生命共同体”的初具规模，生态的改善与经济发展将实现良性互动，按照习近平总书记“统筹山水林田湖草系统治理”的重要指示，把闽侯生态文明建设推向新的高度。</w:t>
      </w:r>
    </w:p>
    <w:p w14:paraId="491F1089">
      <w:pPr>
        <w:spacing w:line="600" w:lineRule="exact"/>
        <w:ind w:firstLine="640"/>
        <w:rPr>
          <w:bCs/>
          <w:szCs w:val="30"/>
        </w:rPr>
      </w:pPr>
      <w:r>
        <w:rPr>
          <w:bCs/>
          <w:szCs w:val="30"/>
        </w:rPr>
        <w:t>同时，</w:t>
      </w:r>
      <w:r>
        <w:rPr>
          <w:rFonts w:hint="eastAsia"/>
          <w:bCs/>
          <w:szCs w:val="30"/>
        </w:rPr>
        <w:t>“</w:t>
      </w:r>
      <w:r>
        <w:rPr>
          <w:bCs/>
          <w:szCs w:val="30"/>
        </w:rPr>
        <w:t>十四五</w:t>
      </w:r>
      <w:r>
        <w:rPr>
          <w:rFonts w:hint="eastAsia"/>
          <w:bCs/>
          <w:szCs w:val="30"/>
        </w:rPr>
        <w:t>”闽侯县</w:t>
      </w:r>
      <w:r>
        <w:rPr>
          <w:bCs/>
          <w:szCs w:val="30"/>
        </w:rPr>
        <w:t>生态环境保护也面临着艰巨的挑战</w:t>
      </w:r>
      <w:r>
        <w:rPr>
          <w:rFonts w:hint="eastAsia"/>
          <w:bCs/>
          <w:szCs w:val="30"/>
        </w:rPr>
        <w:t>：</w:t>
      </w:r>
    </w:p>
    <w:p w14:paraId="21E78FB5">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4.公众对良好生态环境期盼迫切</w:t>
      </w:r>
    </w:p>
    <w:p w14:paraId="58AB039A">
      <w:pPr>
        <w:spacing w:line="600" w:lineRule="exact"/>
        <w:ind w:firstLine="640"/>
        <w:rPr>
          <w:bCs/>
          <w:szCs w:val="30"/>
        </w:rPr>
      </w:pPr>
      <w:r>
        <w:rPr>
          <w:rFonts w:hint="eastAsia"/>
          <w:bCs/>
          <w:szCs w:val="30"/>
        </w:rPr>
        <w:t>随着人们的生活水平明显提高，环境和生态状况信息公开程度的加强，公众的环境权益观日益增强，群众对土壤中的重金属、空气中的</w:t>
      </w:r>
      <w:bookmarkStart w:id="27" w:name="_Hlk102232825"/>
      <w:r>
        <w:rPr>
          <w:rFonts w:ascii="仿宋_GB2312" w:hAnsi="仿宋_GB2312" w:cs="仿宋_GB2312"/>
          <w:szCs w:val="30"/>
        </w:rPr>
        <w:t>PM</w:t>
      </w:r>
      <w:r>
        <w:rPr>
          <w:rFonts w:ascii="仿宋_GB2312" w:hAnsi="仿宋_GB2312" w:cs="仿宋_GB2312"/>
          <w:szCs w:val="30"/>
          <w:vertAlign w:val="subscript"/>
        </w:rPr>
        <w:t>2.5</w:t>
      </w:r>
      <w:bookmarkEnd w:id="27"/>
      <w:r>
        <w:rPr>
          <w:rFonts w:hint="eastAsia"/>
          <w:bCs/>
          <w:szCs w:val="30"/>
        </w:rPr>
        <w:t>、饮用水安全等环境问题越来越关注，对环境质量改善以及影响损害健康的环境诉求越来越强烈，环境污染投诉发生率不断上升，环境质量改善速度和群众日益增长的对优美生态环境需求之间的矛盾仍待破解。</w:t>
      </w:r>
    </w:p>
    <w:p w14:paraId="40321C19">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5.生态环境质量改善仍面临艰巨任务</w:t>
      </w:r>
    </w:p>
    <w:p w14:paraId="1FD7D925">
      <w:pPr>
        <w:spacing w:line="600" w:lineRule="exact"/>
        <w:ind w:firstLine="640"/>
        <w:rPr>
          <w:szCs w:val="30"/>
        </w:rPr>
      </w:pPr>
      <w:r>
        <w:rPr>
          <w:rFonts w:hint="eastAsia"/>
          <w:szCs w:val="30"/>
        </w:rPr>
        <w:t>全县环境质量整体上虽然持续改善，但一些环境问题仍然存在难攻难守、容易反弹等问题，如大气环境质量提升难度较大，扬尘污染造成的细颗粒物（</w:t>
      </w:r>
      <w:r>
        <w:rPr>
          <w:rFonts w:ascii="仿宋_GB2312" w:hAnsi="仿宋_GB2312" w:cs="仿宋_GB2312"/>
          <w:szCs w:val="30"/>
        </w:rPr>
        <w:t>PM</w:t>
      </w:r>
      <w:r>
        <w:rPr>
          <w:rFonts w:ascii="仿宋_GB2312" w:hAnsi="仿宋_GB2312" w:cs="仿宋_GB2312"/>
          <w:szCs w:val="30"/>
          <w:vertAlign w:val="subscript"/>
        </w:rPr>
        <w:t>2.5</w:t>
      </w:r>
      <w:r>
        <w:rPr>
          <w:rFonts w:hint="eastAsia"/>
          <w:szCs w:val="30"/>
        </w:rPr>
        <w:t>）和可吸入颗粒物（</w:t>
      </w:r>
      <w:bookmarkStart w:id="28" w:name="_Hlk102232809"/>
      <w:r>
        <w:rPr>
          <w:rFonts w:ascii="仿宋_GB2312" w:hAnsi="仿宋_GB2312" w:cs="仿宋_GB2312"/>
          <w:szCs w:val="30"/>
        </w:rPr>
        <w:t>PM</w:t>
      </w:r>
      <w:r>
        <w:rPr>
          <w:rFonts w:ascii="仿宋_GB2312" w:hAnsi="仿宋_GB2312" w:cs="仿宋_GB2312"/>
          <w:szCs w:val="30"/>
          <w:vertAlign w:val="subscript"/>
        </w:rPr>
        <w:t>10</w:t>
      </w:r>
      <w:bookmarkEnd w:id="28"/>
      <w:r>
        <w:rPr>
          <w:rFonts w:hint="eastAsia"/>
          <w:szCs w:val="30"/>
        </w:rPr>
        <w:t>）浓度高以及机动车尾气污染现象日益凸显，</w:t>
      </w:r>
      <w:r>
        <w:rPr>
          <w:rFonts w:ascii="仿宋_GB2312" w:hAnsi="仿宋_GB2312" w:cs="仿宋_GB2312"/>
          <w:szCs w:val="30"/>
        </w:rPr>
        <w:t>NO</w:t>
      </w:r>
      <w:r>
        <w:rPr>
          <w:rFonts w:ascii="仿宋_GB2312" w:hAnsi="仿宋_GB2312" w:cs="仿宋_GB2312"/>
          <w:szCs w:val="30"/>
          <w:vertAlign w:val="subscript"/>
        </w:rPr>
        <w:t>2</w:t>
      </w:r>
      <w:r>
        <w:rPr>
          <w:rFonts w:hint="eastAsia"/>
          <w:szCs w:val="30"/>
        </w:rPr>
        <w:t>浓度高于全省</w:t>
      </w:r>
      <w:r>
        <w:rPr>
          <w:rFonts w:ascii="仿宋_GB2312" w:hAnsi="仿宋_GB2312" w:cs="仿宋_GB2312"/>
          <w:szCs w:val="30"/>
        </w:rPr>
        <w:t>58</w:t>
      </w:r>
      <w:r>
        <w:rPr>
          <w:rFonts w:hint="eastAsia"/>
          <w:szCs w:val="30"/>
        </w:rPr>
        <w:t>个县级城市平均水平，空气质量在省市中排名靠后，县域空气质量还需改善。全县小流域I～III类水质比例均达到年度考核要求且已全面消除劣V类，但还存在污染原因复杂、水质波动较大等问题，一些流域水质有待提高。黑臭水体治理长效机制落实情况较薄弱，沿河垃圾清理不到位等现象。城乡宜居品质还有不少差距，一些背街小巷、城乡结合部“脏乱差”问题依然存在，城市更新和乡村振兴还有很多工作要做。</w:t>
      </w:r>
      <w:r>
        <w:rPr>
          <w:szCs w:val="30"/>
        </w:rPr>
        <w:t xml:space="preserve"> </w:t>
      </w:r>
    </w:p>
    <w:p w14:paraId="787AE497">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6.生态环境建设还比较脆弱</w:t>
      </w:r>
    </w:p>
    <w:p w14:paraId="64884C09">
      <w:pPr>
        <w:spacing w:line="600" w:lineRule="exact"/>
        <w:ind w:firstLine="640"/>
        <w:rPr>
          <w:szCs w:val="30"/>
        </w:rPr>
      </w:pPr>
      <w:r>
        <w:rPr>
          <w:rFonts w:hint="eastAsia"/>
          <w:szCs w:val="30"/>
        </w:rPr>
        <w:t>闽侯县地形地貌以山地、丘陵为主，平原总面积为</w:t>
      </w:r>
      <w:r>
        <w:rPr>
          <w:rFonts w:ascii="仿宋_GB2312" w:hAnsi="仿宋_GB2312" w:cs="仿宋_GB2312"/>
          <w:szCs w:val="30"/>
        </w:rPr>
        <w:t>58.59</w:t>
      </w:r>
      <w:r>
        <w:rPr>
          <w:rFonts w:hint="eastAsia"/>
          <w:szCs w:val="30"/>
        </w:rPr>
        <w:t>万亩，仅占全县土地总面积</w:t>
      </w:r>
      <w:r>
        <w:rPr>
          <w:rFonts w:ascii="仿宋_GB2312" w:hAnsi="仿宋_GB2312" w:cs="仿宋_GB2312"/>
          <w:szCs w:val="30"/>
        </w:rPr>
        <w:t>18.3%</w:t>
      </w:r>
      <w:r>
        <w:rPr>
          <w:rFonts w:hint="eastAsia"/>
          <w:szCs w:val="30"/>
        </w:rPr>
        <w:t>，可开发建设用地面积有限。随着县域人口与经济的增加，以及第二产业对土地需求的不断增加，闽侯县人均土地面积不断下降，土地资源相对紧缺，中心城区用地压力不断增加，土地资源空间承载力不足；同时水资源可持续利用后劲不足。闽侯县目前仅有一个县级饮用水源地，饮用水环境安全利用有待加强。闽侯县部分工业园区环保基础建设不够完善，部分企业“三防”设施场所建设标准要求较低，建设管理不规范，存在一定的环境安全隐患。环保设施建设比较薄弱，城区及部分小城镇污水管网覆盖面不够广，部分乡镇污水处理厂进水量不足、进水浓度偏低。全县</w:t>
      </w:r>
      <w:r>
        <w:rPr>
          <w:rFonts w:ascii="仿宋_GB2312" w:hAnsi="仿宋_GB2312" w:cs="仿宋_GB2312"/>
          <w:szCs w:val="30"/>
        </w:rPr>
        <w:t>119</w:t>
      </w:r>
      <w:r>
        <w:rPr>
          <w:rFonts w:hint="eastAsia"/>
          <w:szCs w:val="30"/>
        </w:rPr>
        <w:t>个规划为治理类村庄，部分已建村庄生活污水处理设施未能正常运行。以上现象均表明闽侯县生态环境建设还比较脆弱。</w:t>
      </w:r>
    </w:p>
    <w:p w14:paraId="75623736">
      <w:pPr>
        <w:spacing w:line="600" w:lineRule="exact"/>
        <w:ind w:firstLine="0" w:firstLineChars="0"/>
        <w:sectPr>
          <w:pgSz w:w="11906" w:h="16838"/>
          <w:pgMar w:top="1418" w:right="1247" w:bottom="1134" w:left="1247" w:header="851" w:footer="992" w:gutter="0"/>
          <w:cols w:space="425" w:num="1"/>
          <w:docGrid w:type="lines" w:linePitch="312" w:charSpace="0"/>
        </w:sectPr>
      </w:pPr>
    </w:p>
    <w:p w14:paraId="20B491D7">
      <w:pPr>
        <w:pStyle w:val="6"/>
        <w:spacing w:before="600" w:after="600" w:line="600" w:lineRule="exact"/>
        <w:ind w:firstLine="0" w:firstLineChars="0"/>
        <w:jc w:val="center"/>
        <w:rPr>
          <w:rFonts w:ascii="黑体" w:hAnsi="黑体" w:eastAsia="黑体"/>
          <w:sz w:val="48"/>
          <w:szCs w:val="48"/>
        </w:rPr>
      </w:pPr>
      <w:bookmarkStart w:id="29" w:name="_Toc103937000"/>
      <w:bookmarkStart w:id="30" w:name="_Toc103937258"/>
      <w:r>
        <w:rPr>
          <w:rFonts w:hint="eastAsia" w:ascii="黑体" w:hAnsi="黑体" w:eastAsia="黑体"/>
          <w:sz w:val="48"/>
          <w:szCs w:val="48"/>
        </w:rPr>
        <w:t xml:space="preserve">第二章 </w:t>
      </w:r>
      <w:r>
        <w:rPr>
          <w:rFonts w:ascii="黑体" w:hAnsi="黑体" w:eastAsia="黑体"/>
          <w:sz w:val="48"/>
          <w:szCs w:val="48"/>
        </w:rPr>
        <w:t>指导思想</w:t>
      </w:r>
      <w:r>
        <w:rPr>
          <w:rFonts w:hint="eastAsia" w:ascii="黑体" w:hAnsi="黑体" w:eastAsia="黑体"/>
          <w:sz w:val="48"/>
          <w:szCs w:val="48"/>
        </w:rPr>
        <w:t>、基本原则</w:t>
      </w:r>
      <w:r>
        <w:rPr>
          <w:rFonts w:ascii="黑体" w:hAnsi="黑体" w:eastAsia="黑体"/>
          <w:sz w:val="48"/>
          <w:szCs w:val="48"/>
        </w:rPr>
        <w:t>与主要目标</w:t>
      </w:r>
      <w:bookmarkEnd w:id="29"/>
      <w:bookmarkEnd w:id="30"/>
    </w:p>
    <w:p w14:paraId="7B783840">
      <w:pPr>
        <w:pStyle w:val="7"/>
        <w:spacing w:line="600" w:lineRule="exact"/>
        <w:ind w:firstLine="0" w:firstLineChars="0"/>
        <w:rPr>
          <w:rFonts w:ascii="黑体" w:hAnsi="黑体" w:eastAsia="黑体" w:cs="Times New Roman"/>
          <w:bCs w:val="0"/>
          <w:sz w:val="40"/>
          <w:szCs w:val="40"/>
        </w:rPr>
      </w:pPr>
      <w:bookmarkStart w:id="31" w:name="_Toc103937001"/>
      <w:bookmarkStart w:id="32" w:name="_Toc103937259"/>
      <w:r>
        <w:rPr>
          <w:rFonts w:ascii="黑体" w:hAnsi="黑体" w:eastAsia="黑体" w:cs="Times New Roman"/>
          <w:bCs w:val="0"/>
          <w:sz w:val="40"/>
          <w:szCs w:val="40"/>
        </w:rPr>
        <w:t>（一）指导思想</w:t>
      </w:r>
      <w:bookmarkEnd w:id="31"/>
      <w:bookmarkEnd w:id="32"/>
    </w:p>
    <w:p w14:paraId="5957C82A">
      <w:pPr>
        <w:widowControl/>
        <w:spacing w:line="600" w:lineRule="exact"/>
        <w:ind w:firstLine="640"/>
        <w:jc w:val="left"/>
        <w:rPr>
          <w:bCs/>
          <w:szCs w:val="30"/>
        </w:rPr>
      </w:pPr>
      <w:r>
        <w:rPr>
          <w:rFonts w:hint="eastAsia"/>
          <w:bCs/>
          <w:szCs w:val="30"/>
        </w:rPr>
        <w:t>以习近平生态文明思想为指引，传承弘扬习近平总书记调研五虎山时“尊重自然、顺应自然、保护自然”的重要生态理论，全面落实党的十九大和十九届历次全会精神，牢固树立“绿水青山就是金山银山”的理念，探索“两山”转化新路径。同时，闽侯立足国家生态县，坚持市委市政府“</w:t>
      </w:r>
      <w:bookmarkStart w:id="33" w:name="_Hlk102232895"/>
      <w:r>
        <w:rPr>
          <w:rFonts w:ascii="仿宋_GB2312" w:hAnsi="仿宋_GB2312" w:cs="仿宋_GB2312"/>
          <w:szCs w:val="30"/>
        </w:rPr>
        <w:t>3820</w:t>
      </w:r>
      <w:bookmarkEnd w:id="33"/>
      <w:r>
        <w:rPr>
          <w:rFonts w:hint="eastAsia"/>
          <w:bCs/>
          <w:szCs w:val="30"/>
        </w:rPr>
        <w:t>”战略工程思想精髓，紧紧抓住福州“五区叠加”带来的政策、资本、技术、人才、市场等方面的外溢作用，贯彻落实“五大发展理念”，坚持稳中求进总基调，保持方向不变、力度不减，实施源头治理、系统治理、整体治理，突出精准治污、科学治污、依法治污，把握减污降碳总要求，深入打好污染防治攻坚战，全力守护闽侯绿水青山，推动我县生态文明建设再上新台阶。始终把绿色发展理念深度融入县域经济社会发展全过程，把增进民生福祉放在重要位置，全力打造“产城联动、创新高地、山水融合、文化彰</w:t>
      </w:r>
      <w:r>
        <w:rPr>
          <w:bCs/>
          <w:szCs w:val="30"/>
        </w:rPr>
        <w:t>显、宜居宜业”的新时代滨江新城。</w:t>
      </w:r>
    </w:p>
    <w:p w14:paraId="7DC00946">
      <w:pPr>
        <w:pStyle w:val="7"/>
        <w:spacing w:line="600" w:lineRule="exact"/>
        <w:ind w:firstLine="0" w:firstLineChars="0"/>
        <w:rPr>
          <w:rFonts w:ascii="黑体" w:hAnsi="黑体" w:eastAsia="黑体" w:cs="Times New Roman"/>
          <w:bCs w:val="0"/>
          <w:sz w:val="40"/>
          <w:szCs w:val="40"/>
        </w:rPr>
      </w:pPr>
      <w:bookmarkStart w:id="34" w:name="_Toc103937002"/>
      <w:bookmarkStart w:id="35" w:name="_Toc103937260"/>
      <w:r>
        <w:rPr>
          <w:rFonts w:ascii="黑体" w:hAnsi="黑体" w:eastAsia="黑体" w:cs="Times New Roman"/>
          <w:bCs w:val="0"/>
          <w:sz w:val="40"/>
          <w:szCs w:val="40"/>
        </w:rPr>
        <w:t>（二）基本原则</w:t>
      </w:r>
      <w:bookmarkEnd w:id="34"/>
      <w:bookmarkEnd w:id="35"/>
    </w:p>
    <w:p w14:paraId="6B4E880C">
      <w:pPr>
        <w:pStyle w:val="33"/>
        <w:spacing w:line="600" w:lineRule="exact"/>
        <w:ind w:firstLine="640"/>
        <w:rPr>
          <w:rFonts w:eastAsia="仿宋_GB2312"/>
          <w:kern w:val="2"/>
          <w:szCs w:val="30"/>
        </w:rPr>
      </w:pPr>
      <w:r>
        <w:rPr>
          <w:rFonts w:hint="eastAsia" w:eastAsia="仿宋_GB2312"/>
          <w:kern w:val="2"/>
          <w:szCs w:val="30"/>
        </w:rPr>
        <w:t>——顶层设计，系统思维。根据新一轮机构改革和职能调整统一部署，逐步建立与职责相匹配的能力体系；坚持用系统化思维推进环保工作，以生态环境质量持续改善为目标，统筹谋划治理工作，促进人与自然和谐，实现环境改善成果全民共享。</w:t>
      </w:r>
    </w:p>
    <w:p w14:paraId="6A61147F">
      <w:pPr>
        <w:pStyle w:val="33"/>
        <w:spacing w:line="600" w:lineRule="exact"/>
        <w:ind w:firstLine="640"/>
        <w:rPr>
          <w:rFonts w:eastAsia="仿宋_GB2312"/>
          <w:kern w:val="2"/>
          <w:szCs w:val="30"/>
        </w:rPr>
      </w:pPr>
      <w:r>
        <w:rPr>
          <w:rFonts w:hint="eastAsia" w:eastAsia="仿宋_GB2312"/>
          <w:kern w:val="2"/>
          <w:szCs w:val="30"/>
        </w:rPr>
        <w:t>——因地制宜，突出特色。深入推进国家生态文明建设示范县创建，坚持新发展理念，健全绿色发展促进机制、环境治理长效机制、生态文明评价机制，探索生态环境治理和生态产业升级优化路径，让美丽生态成为闽侯最大的竞争力、生产力。</w:t>
      </w:r>
    </w:p>
    <w:p w14:paraId="0B51C398">
      <w:pPr>
        <w:pStyle w:val="33"/>
        <w:spacing w:line="600" w:lineRule="exact"/>
        <w:ind w:firstLine="640"/>
        <w:rPr>
          <w:rFonts w:eastAsia="仿宋_GB2312"/>
          <w:kern w:val="2"/>
          <w:szCs w:val="30"/>
        </w:rPr>
      </w:pPr>
      <w:r>
        <w:rPr>
          <w:rFonts w:hint="eastAsia" w:eastAsia="仿宋_GB2312"/>
          <w:kern w:val="2"/>
          <w:szCs w:val="30"/>
        </w:rPr>
        <w:t>——生态优先，绿色发展。锚固生态基底、厚植生态优势、发展生态经济，探索绿色发展为导向的高质量发展新路径，加大生态系统保护力度，坚持自然恢复为主的方针，因地制宜、分类施策，协同推动经济高质量发展和生态环境高水平保护。</w:t>
      </w:r>
    </w:p>
    <w:p w14:paraId="61D4E00E">
      <w:pPr>
        <w:spacing w:line="600" w:lineRule="exact"/>
        <w:ind w:firstLine="640"/>
        <w:rPr>
          <w:bCs/>
          <w:szCs w:val="30"/>
        </w:rPr>
      </w:pPr>
      <w:r>
        <w:rPr>
          <w:rFonts w:hint="eastAsia"/>
          <w:szCs w:val="30"/>
        </w:rPr>
        <w:t>——改革创新，共治共享。聚焦机制改革和创新驱动发展，加快构建现代化环境治理体系，补齐环境治理体制机制短板，提升城市精细化管理水平，形成政府、企业、公众等各类主体权责分担，畅通参与渠道，形成全社会合作共治的良好格局。</w:t>
      </w:r>
    </w:p>
    <w:p w14:paraId="6E857143">
      <w:pPr>
        <w:pStyle w:val="7"/>
        <w:spacing w:line="600" w:lineRule="exact"/>
        <w:ind w:firstLine="0" w:firstLineChars="0"/>
        <w:rPr>
          <w:rFonts w:ascii="黑体" w:hAnsi="黑体" w:eastAsia="黑体" w:cs="Times New Roman"/>
          <w:bCs w:val="0"/>
          <w:sz w:val="40"/>
          <w:szCs w:val="40"/>
        </w:rPr>
      </w:pPr>
      <w:bookmarkStart w:id="36" w:name="_Toc103937261"/>
      <w:bookmarkStart w:id="37" w:name="_Toc103937003"/>
      <w:r>
        <w:rPr>
          <w:rFonts w:ascii="黑体" w:hAnsi="黑体" w:eastAsia="黑体" w:cs="Times New Roman"/>
          <w:bCs w:val="0"/>
          <w:sz w:val="40"/>
          <w:szCs w:val="40"/>
        </w:rPr>
        <w:t>（三）总体思路</w:t>
      </w:r>
      <w:bookmarkEnd w:id="36"/>
      <w:bookmarkEnd w:id="37"/>
    </w:p>
    <w:p w14:paraId="0CCBDD10">
      <w:pPr>
        <w:spacing w:line="600" w:lineRule="exact"/>
        <w:ind w:firstLine="640"/>
        <w:rPr>
          <w:szCs w:val="30"/>
        </w:rPr>
      </w:pPr>
      <w:r>
        <w:rPr>
          <w:rFonts w:hint="eastAsia"/>
          <w:szCs w:val="30"/>
        </w:rPr>
        <w:t>到</w:t>
      </w:r>
      <w:r>
        <w:rPr>
          <w:rFonts w:ascii="仿宋_GB2312" w:hAnsi="仿宋_GB2312" w:cs="仿宋_GB2312"/>
          <w:szCs w:val="30"/>
        </w:rPr>
        <w:t>2025</w:t>
      </w:r>
      <w:r>
        <w:rPr>
          <w:rFonts w:hint="eastAsia"/>
          <w:szCs w:val="30"/>
        </w:rPr>
        <w:t>年，全面完成福州市下达的各项生态环境保护任务，全县生态环境质量稳定改善，生态系统稳定性得到显著提升，环境安全得到有效保障，绿色发展格局和绿色生活方式基本形成，初步构建现代化环境治理体系，人民群众生态环境获得感幸福感安全感显著增强，初步建成新时代滨江新城。</w:t>
      </w:r>
    </w:p>
    <w:p w14:paraId="074D4CBC">
      <w:pPr>
        <w:spacing w:line="600" w:lineRule="exact"/>
        <w:ind w:firstLine="643"/>
        <w:rPr>
          <w:szCs w:val="30"/>
        </w:rPr>
      </w:pPr>
      <w:r>
        <w:rPr>
          <w:rFonts w:hint="eastAsia"/>
          <w:b/>
          <w:bCs/>
          <w:szCs w:val="30"/>
        </w:rPr>
        <w:t>——生产生活方式绿色转型。</w:t>
      </w:r>
      <w:r>
        <w:rPr>
          <w:rFonts w:hint="eastAsia"/>
          <w:szCs w:val="30"/>
        </w:rPr>
        <w:t>县域国土空间治理体系更加健全，绿色发展导向全面树立，能源资源配置更加合理、利用效率大幅提高，碳排放强度持续降低，主要污染物排放总量持续减少，简约适度、绿色低碳的生产生活方式加快形成。</w:t>
      </w:r>
    </w:p>
    <w:p w14:paraId="33D8A2EC">
      <w:pPr>
        <w:spacing w:line="600" w:lineRule="exact"/>
        <w:ind w:firstLine="643"/>
        <w:rPr>
          <w:szCs w:val="30"/>
        </w:rPr>
      </w:pPr>
      <w:r>
        <w:rPr>
          <w:rFonts w:hint="eastAsia"/>
          <w:b/>
          <w:bCs/>
          <w:szCs w:val="30"/>
        </w:rPr>
        <w:t>——生态环境质量稳定改善。</w:t>
      </w:r>
      <w:r>
        <w:rPr>
          <w:rFonts w:hint="eastAsia"/>
          <w:szCs w:val="30"/>
        </w:rPr>
        <w:t>空气质量稳步提升，细颗粒物浓度继续下降，臭氧浓度上升趋势得到有效遏制，水环境质量持续改善，水生态建设得到加强，优质水的比例继续提升，地下水水质保持稳定。</w:t>
      </w:r>
    </w:p>
    <w:p w14:paraId="00115324">
      <w:pPr>
        <w:spacing w:line="600" w:lineRule="exact"/>
        <w:ind w:firstLine="643"/>
        <w:rPr>
          <w:szCs w:val="30"/>
        </w:rPr>
      </w:pPr>
      <w:r>
        <w:rPr>
          <w:rFonts w:hint="eastAsia"/>
          <w:b/>
          <w:bCs/>
          <w:szCs w:val="30"/>
        </w:rPr>
        <w:t>——生态环境安全有力保障。</w:t>
      </w:r>
      <w:r>
        <w:rPr>
          <w:rFonts w:hint="eastAsia"/>
          <w:szCs w:val="30"/>
        </w:rPr>
        <w:t>土壤安全利用水平持续增长，固体废物环境风险防控能力明显增强，生物多样性得到有效保护，生物安全管理水平显著提升，生态系统服务功能不断增强。</w:t>
      </w:r>
    </w:p>
    <w:p w14:paraId="3ED46261">
      <w:pPr>
        <w:spacing w:line="600" w:lineRule="exact"/>
        <w:ind w:firstLine="643"/>
        <w:rPr>
          <w:szCs w:val="30"/>
        </w:rPr>
      </w:pPr>
      <w:r>
        <w:rPr>
          <w:rFonts w:hint="eastAsia"/>
          <w:b/>
          <w:bCs/>
          <w:szCs w:val="30"/>
        </w:rPr>
        <w:t>——环境治理体系更加健全。</w:t>
      </w:r>
      <w:r>
        <w:rPr>
          <w:rFonts w:hint="eastAsia"/>
          <w:szCs w:val="30"/>
        </w:rPr>
        <w:t>生态文明制度改革深入推进，生态环境治理能力突出短板加快补齐，生态环境治理效能得到新提升，环境治理体系与治理能力现代化建设进一步完善。</w:t>
      </w:r>
    </w:p>
    <w:p w14:paraId="7DD48E05">
      <w:pPr>
        <w:spacing w:line="600" w:lineRule="exact"/>
        <w:ind w:firstLine="643"/>
        <w:rPr>
          <w:szCs w:val="30"/>
        </w:rPr>
      </w:pPr>
      <w:r>
        <w:rPr>
          <w:rFonts w:hint="eastAsia"/>
          <w:b/>
          <w:bCs/>
          <w:szCs w:val="30"/>
        </w:rPr>
        <w:t>——人民群众获得感成色更足。</w:t>
      </w:r>
      <w:r>
        <w:rPr>
          <w:rFonts w:hint="eastAsia"/>
          <w:szCs w:val="30"/>
        </w:rPr>
        <w:t>山更绿、水更清、天更蓝、土更净、村更美，人名尽享绿色生态福祉，县域共享绿色发展红利。广大群众在享受八闽首邑美景的同时收获更多幸福感。</w:t>
      </w:r>
    </w:p>
    <w:p w14:paraId="41F6F260">
      <w:pPr>
        <w:spacing w:line="600" w:lineRule="exact"/>
        <w:ind w:firstLine="640"/>
        <w:rPr>
          <w:szCs w:val="30"/>
        </w:rPr>
      </w:pPr>
      <w:r>
        <w:rPr>
          <w:rFonts w:hint="eastAsia"/>
          <w:szCs w:val="30"/>
        </w:rPr>
        <w:t>要坚持“强创新、强门户”加快打造“科教名城”；要坚持“强产业、强承载”加快打造“产业强城”；要坚持“强生态、强民生”，加快打造“宜居新城”。</w:t>
      </w:r>
    </w:p>
    <w:p w14:paraId="7614B773">
      <w:pPr>
        <w:spacing w:line="600" w:lineRule="exact"/>
        <w:ind w:firstLine="640"/>
        <w:rPr>
          <w:szCs w:val="30"/>
        </w:rPr>
      </w:pPr>
      <w:r>
        <w:rPr>
          <w:rFonts w:hint="eastAsia"/>
          <w:szCs w:val="30"/>
        </w:rPr>
        <w:t>到</w:t>
      </w:r>
      <w:r>
        <w:rPr>
          <w:rFonts w:ascii="仿宋_GB2312" w:hAnsi="仿宋_GB2312" w:cs="仿宋_GB2312"/>
          <w:szCs w:val="30"/>
        </w:rPr>
        <w:t>2035</w:t>
      </w:r>
      <w:r>
        <w:rPr>
          <w:rFonts w:hint="eastAsia"/>
          <w:szCs w:val="30"/>
        </w:rPr>
        <w:t>年，全面建成新时代滨江新城的总目标，将生态保护、绿色发展、民生改善有机统一。以生态为底，融出发展蓝图，生态文明建设实现新进步。</w:t>
      </w:r>
    </w:p>
    <w:p w14:paraId="5E023A14">
      <w:pPr>
        <w:pStyle w:val="7"/>
        <w:spacing w:line="600" w:lineRule="exact"/>
        <w:ind w:firstLine="0" w:firstLineChars="0"/>
        <w:rPr>
          <w:rFonts w:ascii="黑体" w:hAnsi="黑体" w:eastAsia="黑体" w:cs="Times New Roman"/>
          <w:bCs w:val="0"/>
          <w:sz w:val="40"/>
          <w:szCs w:val="40"/>
        </w:rPr>
      </w:pPr>
      <w:bookmarkStart w:id="38" w:name="_Toc103937004"/>
      <w:bookmarkStart w:id="39" w:name="_Toc103937262"/>
      <w:bookmarkStart w:id="40" w:name="_Toc75262025"/>
      <w:r>
        <w:rPr>
          <w:rFonts w:ascii="黑体" w:hAnsi="黑体" w:eastAsia="黑体" w:cs="Times New Roman"/>
          <w:bCs w:val="0"/>
          <w:sz w:val="40"/>
          <w:szCs w:val="40"/>
        </w:rPr>
        <w:t>（四）规划目标</w:t>
      </w:r>
      <w:bookmarkEnd w:id="38"/>
      <w:bookmarkEnd w:id="39"/>
      <w:bookmarkEnd w:id="40"/>
    </w:p>
    <w:p w14:paraId="710C8100">
      <w:pPr>
        <w:spacing w:line="600" w:lineRule="exact"/>
        <w:ind w:firstLine="640"/>
        <w:rPr>
          <w:bCs/>
        </w:rPr>
      </w:pPr>
      <w:r>
        <w:rPr>
          <w:bCs/>
        </w:rPr>
        <w:t>根据指导思想、基本原则、总体思路和总体目标，</w:t>
      </w:r>
      <w:r>
        <w:rPr>
          <w:rFonts w:hint="eastAsia"/>
          <w:bCs/>
        </w:rPr>
        <w:t>本规划</w:t>
      </w:r>
      <w:r>
        <w:rPr>
          <w:bCs/>
        </w:rPr>
        <w:t>建立环境质量、</w:t>
      </w:r>
      <w:r>
        <w:rPr>
          <w:rFonts w:hint="eastAsia"/>
          <w:bCs/>
        </w:rPr>
        <w:t>绿色发展</w:t>
      </w:r>
      <w:r>
        <w:rPr>
          <w:bCs/>
        </w:rPr>
        <w:t>、</w:t>
      </w:r>
      <w:r>
        <w:rPr>
          <w:rFonts w:hint="eastAsia"/>
          <w:bCs/>
        </w:rPr>
        <w:t>环境治理、</w:t>
      </w:r>
      <w:r>
        <w:rPr>
          <w:bCs/>
        </w:rPr>
        <w:t>风险管控、生态</w:t>
      </w:r>
      <w:r>
        <w:rPr>
          <w:rFonts w:hint="eastAsia"/>
          <w:bCs/>
        </w:rPr>
        <w:t>空间等</w:t>
      </w:r>
      <w:r>
        <w:rPr>
          <w:rFonts w:ascii="仿宋_GB2312" w:hAnsi="仿宋_GB2312" w:cs="仿宋_GB2312"/>
          <w:szCs w:val="30"/>
        </w:rPr>
        <w:t>5</w:t>
      </w:r>
      <w:r>
        <w:rPr>
          <w:bCs/>
        </w:rPr>
        <w:t>大指标体系，共</w:t>
      </w:r>
      <w:r>
        <w:rPr>
          <w:rFonts w:ascii="仿宋_GB2312" w:hAnsi="仿宋_GB2312" w:cs="仿宋_GB2312"/>
          <w:szCs w:val="30"/>
        </w:rPr>
        <w:t>24</w:t>
      </w:r>
      <w:r>
        <w:rPr>
          <w:bCs/>
        </w:rPr>
        <w:t>项指标</w:t>
      </w:r>
      <w:r>
        <w:rPr>
          <w:rFonts w:hint="eastAsia"/>
          <w:bCs/>
        </w:rPr>
        <w:t>在“十四五”期间的目标值，如下表</w:t>
      </w:r>
      <w:bookmarkStart w:id="41" w:name="_Hlk102234413"/>
      <w:r>
        <w:rPr>
          <w:rFonts w:hint="eastAsia" w:ascii="仿宋_GB2312" w:hAnsi="仿宋_GB2312" w:cs="仿宋_GB2312"/>
          <w:szCs w:val="30"/>
        </w:rPr>
        <w:t>1</w:t>
      </w:r>
      <w:bookmarkEnd w:id="41"/>
      <w:r>
        <w:rPr>
          <w:rFonts w:hint="eastAsia"/>
          <w:bCs/>
        </w:rPr>
        <w:t>。</w:t>
      </w:r>
    </w:p>
    <w:p w14:paraId="5DF11CC3">
      <w:pPr>
        <w:ind w:firstLine="0" w:firstLineChars="0"/>
        <w:jc w:val="center"/>
        <w:rPr>
          <w:b/>
          <w:sz w:val="24"/>
          <w:szCs w:val="22"/>
        </w:rPr>
      </w:pPr>
      <w:r>
        <w:rPr>
          <w:b/>
          <w:sz w:val="24"/>
          <w:szCs w:val="22"/>
        </w:rPr>
        <w:t>表1 闽侯县</w:t>
      </w:r>
      <w:r>
        <w:rPr>
          <w:rFonts w:hint="eastAsia"/>
          <w:b/>
          <w:sz w:val="24"/>
          <w:szCs w:val="22"/>
        </w:rPr>
        <w:t>“</w:t>
      </w:r>
      <w:r>
        <w:rPr>
          <w:b/>
          <w:sz w:val="24"/>
          <w:szCs w:val="22"/>
        </w:rPr>
        <w:t>十四五</w:t>
      </w:r>
      <w:r>
        <w:rPr>
          <w:rFonts w:hint="eastAsia"/>
          <w:b/>
          <w:sz w:val="24"/>
          <w:szCs w:val="22"/>
        </w:rPr>
        <w:t>”生态</w:t>
      </w:r>
      <w:r>
        <w:rPr>
          <w:b/>
          <w:sz w:val="24"/>
          <w:szCs w:val="22"/>
        </w:rPr>
        <w:t>环境保护主要指标</w:t>
      </w:r>
    </w:p>
    <w:tbl>
      <w:tblPr>
        <w:tblStyle w:val="25"/>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21"/>
        <w:gridCol w:w="1582"/>
        <w:gridCol w:w="1525"/>
        <w:gridCol w:w="760"/>
        <w:gridCol w:w="1256"/>
        <w:gridCol w:w="1720"/>
        <w:gridCol w:w="1081"/>
      </w:tblGrid>
      <w:tr w14:paraId="6C04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567" w:type="dxa"/>
            <w:vAlign w:val="center"/>
          </w:tcPr>
          <w:p w14:paraId="620AD518">
            <w:pPr>
              <w:spacing w:line="288" w:lineRule="auto"/>
              <w:ind w:firstLine="0" w:firstLineChars="0"/>
              <w:jc w:val="center"/>
              <w:rPr>
                <w:rFonts w:eastAsiaTheme="minorEastAsia"/>
                <w:b/>
                <w:bCs/>
                <w:sz w:val="21"/>
                <w:szCs w:val="21"/>
              </w:rPr>
            </w:pPr>
            <w:r>
              <w:rPr>
                <w:rFonts w:eastAsiaTheme="minorEastAsia"/>
                <w:b/>
                <w:bCs/>
                <w:sz w:val="21"/>
                <w:szCs w:val="21"/>
              </w:rPr>
              <w:t>类型</w:t>
            </w:r>
          </w:p>
        </w:tc>
        <w:tc>
          <w:tcPr>
            <w:tcW w:w="521" w:type="dxa"/>
            <w:vAlign w:val="center"/>
          </w:tcPr>
          <w:p w14:paraId="223971F5">
            <w:pPr>
              <w:spacing w:line="288" w:lineRule="auto"/>
              <w:ind w:firstLine="0" w:firstLineChars="0"/>
              <w:jc w:val="center"/>
              <w:rPr>
                <w:rFonts w:eastAsiaTheme="minorEastAsia"/>
                <w:b/>
                <w:bCs/>
                <w:sz w:val="21"/>
                <w:szCs w:val="21"/>
              </w:rPr>
            </w:pPr>
            <w:r>
              <w:rPr>
                <w:rFonts w:eastAsiaTheme="minorEastAsia"/>
                <w:b/>
                <w:bCs/>
                <w:sz w:val="21"/>
                <w:szCs w:val="21"/>
              </w:rPr>
              <w:t>序号</w:t>
            </w:r>
          </w:p>
        </w:tc>
        <w:tc>
          <w:tcPr>
            <w:tcW w:w="3107" w:type="dxa"/>
            <w:gridSpan w:val="2"/>
            <w:vAlign w:val="center"/>
          </w:tcPr>
          <w:p w14:paraId="23E545BC">
            <w:pPr>
              <w:spacing w:line="288" w:lineRule="auto"/>
              <w:ind w:firstLine="0" w:firstLineChars="0"/>
              <w:jc w:val="center"/>
              <w:rPr>
                <w:rFonts w:eastAsiaTheme="minorEastAsia"/>
                <w:b/>
                <w:bCs/>
                <w:sz w:val="21"/>
                <w:szCs w:val="21"/>
              </w:rPr>
            </w:pPr>
            <w:r>
              <w:rPr>
                <w:rFonts w:eastAsiaTheme="minorEastAsia"/>
                <w:b/>
                <w:bCs/>
                <w:sz w:val="21"/>
                <w:szCs w:val="21"/>
              </w:rPr>
              <w:t>指标</w:t>
            </w:r>
          </w:p>
        </w:tc>
        <w:tc>
          <w:tcPr>
            <w:tcW w:w="760" w:type="dxa"/>
            <w:vAlign w:val="center"/>
          </w:tcPr>
          <w:p w14:paraId="3FDE611D">
            <w:pPr>
              <w:spacing w:line="288" w:lineRule="auto"/>
              <w:ind w:firstLine="0" w:firstLineChars="0"/>
              <w:jc w:val="center"/>
              <w:rPr>
                <w:rFonts w:eastAsiaTheme="minorEastAsia"/>
                <w:b/>
                <w:bCs/>
                <w:sz w:val="21"/>
                <w:szCs w:val="21"/>
              </w:rPr>
            </w:pPr>
            <w:r>
              <w:rPr>
                <w:rFonts w:eastAsiaTheme="minorEastAsia"/>
                <w:b/>
                <w:bCs/>
                <w:sz w:val="21"/>
                <w:szCs w:val="21"/>
              </w:rPr>
              <w:t>单位</w:t>
            </w:r>
          </w:p>
        </w:tc>
        <w:tc>
          <w:tcPr>
            <w:tcW w:w="1256" w:type="dxa"/>
            <w:vAlign w:val="center"/>
          </w:tcPr>
          <w:p w14:paraId="0A51D8FF">
            <w:pPr>
              <w:spacing w:line="288" w:lineRule="auto"/>
              <w:ind w:firstLine="0" w:firstLineChars="0"/>
              <w:jc w:val="center"/>
              <w:rPr>
                <w:rFonts w:eastAsiaTheme="minorEastAsia"/>
                <w:b/>
                <w:bCs/>
                <w:sz w:val="21"/>
                <w:szCs w:val="21"/>
              </w:rPr>
            </w:pPr>
            <w:r>
              <w:rPr>
                <w:rFonts w:eastAsiaTheme="minorEastAsia"/>
                <w:b/>
                <w:bCs/>
                <w:sz w:val="21"/>
                <w:szCs w:val="21"/>
              </w:rPr>
              <w:t>现状值</w:t>
            </w:r>
          </w:p>
          <w:p w14:paraId="76770B86">
            <w:pPr>
              <w:spacing w:line="288" w:lineRule="auto"/>
              <w:ind w:right="-160" w:rightChars="-50" w:firstLine="0" w:firstLineChars="0"/>
              <w:jc w:val="center"/>
              <w:rPr>
                <w:rFonts w:eastAsiaTheme="minorEastAsia"/>
                <w:b/>
                <w:bCs/>
                <w:sz w:val="21"/>
                <w:szCs w:val="21"/>
              </w:rPr>
            </w:pPr>
            <w:r>
              <w:rPr>
                <w:rFonts w:eastAsiaTheme="minorEastAsia"/>
                <w:b/>
                <w:bCs/>
                <w:sz w:val="21"/>
                <w:szCs w:val="21"/>
              </w:rPr>
              <w:t>（2020年）</w:t>
            </w:r>
          </w:p>
        </w:tc>
        <w:tc>
          <w:tcPr>
            <w:tcW w:w="1720" w:type="dxa"/>
            <w:vAlign w:val="center"/>
          </w:tcPr>
          <w:p w14:paraId="22A79BD8">
            <w:pPr>
              <w:spacing w:line="288" w:lineRule="auto"/>
              <w:ind w:firstLine="0" w:firstLineChars="0"/>
              <w:jc w:val="center"/>
              <w:rPr>
                <w:rFonts w:eastAsiaTheme="minorEastAsia"/>
                <w:b/>
                <w:bCs/>
                <w:sz w:val="21"/>
                <w:szCs w:val="21"/>
              </w:rPr>
            </w:pPr>
            <w:r>
              <w:rPr>
                <w:rFonts w:eastAsiaTheme="minorEastAsia"/>
                <w:b/>
                <w:bCs/>
                <w:sz w:val="21"/>
                <w:szCs w:val="21"/>
              </w:rPr>
              <w:t>目标值</w:t>
            </w:r>
          </w:p>
          <w:p w14:paraId="278E7C76">
            <w:pPr>
              <w:spacing w:line="288" w:lineRule="auto"/>
              <w:ind w:firstLine="0" w:firstLineChars="0"/>
              <w:jc w:val="center"/>
              <w:rPr>
                <w:rFonts w:eastAsiaTheme="minorEastAsia"/>
                <w:b/>
                <w:bCs/>
                <w:sz w:val="21"/>
                <w:szCs w:val="21"/>
              </w:rPr>
            </w:pPr>
            <w:r>
              <w:rPr>
                <w:rFonts w:eastAsiaTheme="minorEastAsia"/>
                <w:b/>
                <w:bCs/>
                <w:sz w:val="21"/>
                <w:szCs w:val="21"/>
              </w:rPr>
              <w:t>（2025年）</w:t>
            </w:r>
          </w:p>
        </w:tc>
        <w:tc>
          <w:tcPr>
            <w:tcW w:w="1081" w:type="dxa"/>
            <w:vAlign w:val="center"/>
          </w:tcPr>
          <w:p w14:paraId="373E0EB0">
            <w:pPr>
              <w:spacing w:line="288" w:lineRule="auto"/>
              <w:ind w:firstLine="0" w:firstLineChars="0"/>
              <w:jc w:val="center"/>
              <w:rPr>
                <w:rFonts w:eastAsiaTheme="minorEastAsia"/>
                <w:b/>
                <w:bCs/>
                <w:sz w:val="21"/>
                <w:szCs w:val="21"/>
              </w:rPr>
            </w:pPr>
            <w:r>
              <w:rPr>
                <w:rFonts w:eastAsiaTheme="minorEastAsia"/>
                <w:b/>
                <w:bCs/>
                <w:sz w:val="21"/>
                <w:szCs w:val="21"/>
              </w:rPr>
              <w:t>属性</w:t>
            </w:r>
          </w:p>
        </w:tc>
      </w:tr>
      <w:tr w14:paraId="000B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67" w:type="dxa"/>
            <w:vMerge w:val="restart"/>
            <w:vAlign w:val="center"/>
          </w:tcPr>
          <w:p w14:paraId="254DFF58">
            <w:pPr>
              <w:spacing w:line="288" w:lineRule="auto"/>
              <w:ind w:firstLine="0" w:firstLineChars="0"/>
              <w:jc w:val="center"/>
              <w:rPr>
                <w:rFonts w:eastAsiaTheme="minorEastAsia"/>
                <w:sz w:val="21"/>
                <w:szCs w:val="21"/>
              </w:rPr>
            </w:pPr>
            <w:r>
              <w:rPr>
                <w:rFonts w:eastAsiaTheme="minorEastAsia"/>
                <w:sz w:val="21"/>
                <w:szCs w:val="21"/>
              </w:rPr>
              <w:t>环境质量</w:t>
            </w:r>
          </w:p>
        </w:tc>
        <w:tc>
          <w:tcPr>
            <w:tcW w:w="521" w:type="dxa"/>
            <w:vAlign w:val="center"/>
          </w:tcPr>
          <w:p w14:paraId="08EF0515">
            <w:pPr>
              <w:spacing w:line="400" w:lineRule="exact"/>
              <w:ind w:firstLine="0" w:firstLineChars="0"/>
              <w:jc w:val="center"/>
              <w:rPr>
                <w:rFonts w:eastAsiaTheme="minorEastAsia"/>
                <w:sz w:val="21"/>
                <w:szCs w:val="21"/>
              </w:rPr>
            </w:pPr>
            <w:r>
              <w:rPr>
                <w:rFonts w:eastAsiaTheme="minorEastAsia"/>
                <w:sz w:val="21"/>
                <w:szCs w:val="21"/>
              </w:rPr>
              <w:t>1</w:t>
            </w:r>
          </w:p>
        </w:tc>
        <w:tc>
          <w:tcPr>
            <w:tcW w:w="3107" w:type="dxa"/>
            <w:gridSpan w:val="2"/>
            <w:vAlign w:val="center"/>
          </w:tcPr>
          <w:p w14:paraId="215EDCA6">
            <w:pPr>
              <w:spacing w:line="400" w:lineRule="exact"/>
              <w:ind w:firstLine="0" w:firstLineChars="0"/>
              <w:jc w:val="center"/>
              <w:rPr>
                <w:rFonts w:eastAsiaTheme="minorEastAsia"/>
                <w:sz w:val="21"/>
                <w:szCs w:val="21"/>
              </w:rPr>
            </w:pPr>
            <w:r>
              <w:rPr>
                <w:rFonts w:eastAsiaTheme="minorEastAsia"/>
                <w:sz w:val="21"/>
                <w:szCs w:val="21"/>
              </w:rPr>
              <w:t>城市空气质量优良天数比例</w:t>
            </w:r>
          </w:p>
        </w:tc>
        <w:tc>
          <w:tcPr>
            <w:tcW w:w="760" w:type="dxa"/>
            <w:vAlign w:val="center"/>
          </w:tcPr>
          <w:p w14:paraId="181DEBC0">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6D328A7E">
            <w:pPr>
              <w:spacing w:line="400" w:lineRule="exact"/>
              <w:ind w:firstLine="0" w:firstLineChars="0"/>
              <w:jc w:val="center"/>
              <w:rPr>
                <w:rFonts w:eastAsiaTheme="minorEastAsia"/>
                <w:sz w:val="21"/>
                <w:szCs w:val="21"/>
              </w:rPr>
            </w:pPr>
            <w:r>
              <w:rPr>
                <w:rFonts w:eastAsiaTheme="minorEastAsia"/>
                <w:sz w:val="21"/>
                <w:szCs w:val="21"/>
              </w:rPr>
              <w:t>99.7</w:t>
            </w:r>
          </w:p>
        </w:tc>
        <w:tc>
          <w:tcPr>
            <w:tcW w:w="1720" w:type="dxa"/>
            <w:vAlign w:val="center"/>
          </w:tcPr>
          <w:p w14:paraId="70F0BCA8">
            <w:pPr>
              <w:spacing w:line="400" w:lineRule="exact"/>
              <w:ind w:firstLine="0" w:firstLineChars="0"/>
              <w:jc w:val="center"/>
              <w:rPr>
                <w:rFonts w:eastAsiaTheme="minorEastAsia"/>
                <w:sz w:val="21"/>
                <w:szCs w:val="21"/>
              </w:rPr>
            </w:pPr>
            <w:r>
              <w:rPr>
                <w:rFonts w:eastAsiaTheme="minorEastAsia"/>
                <w:sz w:val="21"/>
                <w:szCs w:val="21"/>
              </w:rPr>
              <w:t>达到市考核标准</w:t>
            </w:r>
          </w:p>
        </w:tc>
        <w:tc>
          <w:tcPr>
            <w:tcW w:w="1081" w:type="dxa"/>
            <w:vAlign w:val="center"/>
          </w:tcPr>
          <w:p w14:paraId="2FBFB7E7">
            <w:pPr>
              <w:spacing w:line="400" w:lineRule="exact"/>
              <w:ind w:firstLine="0" w:firstLineChars="0"/>
              <w:jc w:val="center"/>
              <w:rPr>
                <w:rFonts w:eastAsiaTheme="minorEastAsia"/>
                <w:sz w:val="21"/>
                <w:szCs w:val="21"/>
              </w:rPr>
            </w:pPr>
            <w:r>
              <w:rPr>
                <w:rFonts w:eastAsiaTheme="minorEastAsia"/>
                <w:sz w:val="21"/>
                <w:szCs w:val="21"/>
              </w:rPr>
              <w:t>约束性</w:t>
            </w:r>
          </w:p>
        </w:tc>
      </w:tr>
      <w:tr w14:paraId="3AC9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67" w:type="dxa"/>
            <w:vMerge w:val="continue"/>
            <w:vAlign w:val="center"/>
          </w:tcPr>
          <w:p w14:paraId="6AED5690">
            <w:pPr>
              <w:spacing w:line="288" w:lineRule="auto"/>
              <w:ind w:firstLine="0" w:firstLineChars="0"/>
              <w:jc w:val="center"/>
              <w:rPr>
                <w:rFonts w:eastAsiaTheme="minorEastAsia"/>
                <w:sz w:val="21"/>
                <w:szCs w:val="21"/>
              </w:rPr>
            </w:pPr>
          </w:p>
        </w:tc>
        <w:tc>
          <w:tcPr>
            <w:tcW w:w="521" w:type="dxa"/>
            <w:vAlign w:val="center"/>
          </w:tcPr>
          <w:p w14:paraId="5DA72ED8">
            <w:pPr>
              <w:spacing w:line="400" w:lineRule="exact"/>
              <w:ind w:firstLine="0" w:firstLineChars="0"/>
              <w:jc w:val="center"/>
              <w:rPr>
                <w:rFonts w:eastAsiaTheme="minorEastAsia"/>
                <w:sz w:val="21"/>
                <w:szCs w:val="21"/>
              </w:rPr>
            </w:pPr>
            <w:r>
              <w:rPr>
                <w:rFonts w:eastAsiaTheme="minorEastAsia"/>
                <w:sz w:val="21"/>
                <w:szCs w:val="21"/>
              </w:rPr>
              <w:t>2</w:t>
            </w:r>
          </w:p>
        </w:tc>
        <w:tc>
          <w:tcPr>
            <w:tcW w:w="3107" w:type="dxa"/>
            <w:gridSpan w:val="2"/>
            <w:vAlign w:val="center"/>
          </w:tcPr>
          <w:p w14:paraId="12A408ED">
            <w:pPr>
              <w:spacing w:line="400" w:lineRule="exact"/>
              <w:ind w:firstLine="0" w:firstLineChars="0"/>
              <w:jc w:val="center"/>
              <w:rPr>
                <w:rFonts w:eastAsiaTheme="minorEastAsia"/>
                <w:sz w:val="21"/>
                <w:szCs w:val="21"/>
              </w:rPr>
            </w:pPr>
            <w:r>
              <w:rPr>
                <w:rFonts w:eastAsiaTheme="minorEastAsia"/>
                <w:sz w:val="21"/>
                <w:szCs w:val="21"/>
              </w:rPr>
              <w:t>城市细颗粒物年均浓度</w:t>
            </w:r>
          </w:p>
        </w:tc>
        <w:tc>
          <w:tcPr>
            <w:tcW w:w="760" w:type="dxa"/>
            <w:vAlign w:val="center"/>
          </w:tcPr>
          <w:p w14:paraId="2BBDA0D0">
            <w:pPr>
              <w:spacing w:line="400" w:lineRule="exact"/>
              <w:ind w:firstLine="0" w:firstLineChars="0"/>
              <w:jc w:val="center"/>
              <w:rPr>
                <w:rFonts w:eastAsiaTheme="minorEastAsia"/>
                <w:sz w:val="21"/>
                <w:szCs w:val="21"/>
              </w:rPr>
            </w:pPr>
            <w:r>
              <w:rPr>
                <w:rFonts w:eastAsiaTheme="minorEastAsia"/>
                <w:sz w:val="21"/>
                <w:szCs w:val="21"/>
              </w:rPr>
              <w:t>μg/m</w:t>
            </w:r>
            <w:r>
              <w:rPr>
                <w:rFonts w:eastAsiaTheme="minorEastAsia"/>
                <w:sz w:val="21"/>
                <w:szCs w:val="21"/>
                <w:vertAlign w:val="superscript"/>
              </w:rPr>
              <w:t>3</w:t>
            </w:r>
          </w:p>
        </w:tc>
        <w:tc>
          <w:tcPr>
            <w:tcW w:w="1256" w:type="dxa"/>
            <w:vAlign w:val="center"/>
          </w:tcPr>
          <w:p w14:paraId="7C79440A">
            <w:pPr>
              <w:spacing w:line="400" w:lineRule="exact"/>
              <w:ind w:firstLine="0" w:firstLineChars="0"/>
              <w:jc w:val="center"/>
              <w:rPr>
                <w:rFonts w:eastAsiaTheme="minorEastAsia"/>
                <w:sz w:val="21"/>
                <w:szCs w:val="21"/>
              </w:rPr>
            </w:pPr>
            <w:r>
              <w:rPr>
                <w:rFonts w:eastAsiaTheme="minorEastAsia"/>
                <w:sz w:val="21"/>
                <w:szCs w:val="21"/>
              </w:rPr>
              <w:t>21</w:t>
            </w:r>
          </w:p>
        </w:tc>
        <w:tc>
          <w:tcPr>
            <w:tcW w:w="1720" w:type="dxa"/>
            <w:vAlign w:val="center"/>
          </w:tcPr>
          <w:p w14:paraId="4B1E7AA4">
            <w:pPr>
              <w:spacing w:line="400" w:lineRule="exact"/>
              <w:ind w:firstLine="0" w:firstLineChars="0"/>
              <w:jc w:val="center"/>
              <w:rPr>
                <w:rFonts w:eastAsiaTheme="minorEastAsia"/>
                <w:sz w:val="21"/>
                <w:szCs w:val="21"/>
              </w:rPr>
            </w:pPr>
            <w:r>
              <w:rPr>
                <w:rFonts w:eastAsiaTheme="minorEastAsia"/>
                <w:sz w:val="21"/>
                <w:szCs w:val="21"/>
              </w:rPr>
              <w:t>达到市考核标准</w:t>
            </w:r>
          </w:p>
        </w:tc>
        <w:tc>
          <w:tcPr>
            <w:tcW w:w="1081" w:type="dxa"/>
            <w:vAlign w:val="center"/>
          </w:tcPr>
          <w:p w14:paraId="2B7719C2">
            <w:pPr>
              <w:spacing w:line="400" w:lineRule="exact"/>
              <w:ind w:firstLine="0" w:firstLineChars="0"/>
              <w:jc w:val="center"/>
              <w:rPr>
                <w:rFonts w:eastAsiaTheme="minorEastAsia"/>
                <w:sz w:val="21"/>
                <w:szCs w:val="21"/>
              </w:rPr>
            </w:pPr>
            <w:r>
              <w:rPr>
                <w:rFonts w:eastAsiaTheme="minorEastAsia"/>
                <w:sz w:val="21"/>
                <w:szCs w:val="21"/>
              </w:rPr>
              <w:t>约束性</w:t>
            </w:r>
          </w:p>
        </w:tc>
      </w:tr>
      <w:tr w14:paraId="5607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67" w:type="dxa"/>
            <w:vMerge w:val="continue"/>
            <w:vAlign w:val="center"/>
          </w:tcPr>
          <w:p w14:paraId="0984813A">
            <w:pPr>
              <w:spacing w:line="288" w:lineRule="auto"/>
              <w:ind w:firstLine="0" w:firstLineChars="0"/>
              <w:jc w:val="center"/>
              <w:rPr>
                <w:rFonts w:eastAsiaTheme="minorEastAsia"/>
                <w:sz w:val="21"/>
                <w:szCs w:val="21"/>
              </w:rPr>
            </w:pPr>
          </w:p>
        </w:tc>
        <w:tc>
          <w:tcPr>
            <w:tcW w:w="521" w:type="dxa"/>
            <w:vAlign w:val="center"/>
          </w:tcPr>
          <w:p w14:paraId="26BBC510">
            <w:pPr>
              <w:spacing w:line="400" w:lineRule="exact"/>
              <w:ind w:firstLine="0" w:firstLineChars="0"/>
              <w:jc w:val="center"/>
              <w:rPr>
                <w:rFonts w:eastAsiaTheme="minorEastAsia"/>
                <w:sz w:val="21"/>
                <w:szCs w:val="21"/>
              </w:rPr>
            </w:pPr>
            <w:r>
              <w:rPr>
                <w:rFonts w:eastAsiaTheme="minorEastAsia"/>
                <w:sz w:val="21"/>
                <w:szCs w:val="21"/>
              </w:rPr>
              <w:t>3</w:t>
            </w:r>
          </w:p>
        </w:tc>
        <w:tc>
          <w:tcPr>
            <w:tcW w:w="3107" w:type="dxa"/>
            <w:gridSpan w:val="2"/>
            <w:vAlign w:val="center"/>
          </w:tcPr>
          <w:p w14:paraId="4A05ECBD">
            <w:pPr>
              <w:spacing w:line="400" w:lineRule="exact"/>
              <w:ind w:firstLine="0" w:firstLineChars="0"/>
              <w:jc w:val="center"/>
              <w:rPr>
                <w:rFonts w:eastAsiaTheme="minorEastAsia"/>
                <w:sz w:val="21"/>
                <w:szCs w:val="21"/>
              </w:rPr>
            </w:pPr>
            <w:r>
              <w:rPr>
                <w:rFonts w:eastAsiaTheme="minorEastAsia"/>
                <w:sz w:val="21"/>
                <w:szCs w:val="21"/>
              </w:rPr>
              <w:t>集中式饮用水水水源水质达标率</w:t>
            </w:r>
          </w:p>
        </w:tc>
        <w:tc>
          <w:tcPr>
            <w:tcW w:w="760" w:type="dxa"/>
            <w:vAlign w:val="center"/>
          </w:tcPr>
          <w:p w14:paraId="6053D481">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091C9A47">
            <w:pPr>
              <w:spacing w:line="400" w:lineRule="exact"/>
              <w:ind w:firstLine="0" w:firstLineChars="0"/>
              <w:jc w:val="center"/>
              <w:rPr>
                <w:rFonts w:eastAsiaTheme="minorEastAsia"/>
                <w:sz w:val="21"/>
                <w:szCs w:val="21"/>
              </w:rPr>
            </w:pPr>
            <w:r>
              <w:rPr>
                <w:rFonts w:eastAsiaTheme="minorEastAsia"/>
                <w:sz w:val="21"/>
                <w:szCs w:val="21"/>
              </w:rPr>
              <w:t>100</w:t>
            </w:r>
          </w:p>
        </w:tc>
        <w:tc>
          <w:tcPr>
            <w:tcW w:w="1720" w:type="dxa"/>
            <w:vAlign w:val="center"/>
          </w:tcPr>
          <w:p w14:paraId="79A93611">
            <w:pPr>
              <w:spacing w:line="400" w:lineRule="exact"/>
              <w:ind w:firstLine="0" w:firstLineChars="0"/>
              <w:jc w:val="center"/>
              <w:rPr>
                <w:rFonts w:eastAsiaTheme="minorEastAsia"/>
                <w:sz w:val="21"/>
                <w:szCs w:val="21"/>
              </w:rPr>
            </w:pPr>
            <w:r>
              <w:rPr>
                <w:rFonts w:eastAsiaTheme="minorEastAsia"/>
                <w:sz w:val="21"/>
                <w:szCs w:val="21"/>
              </w:rPr>
              <w:t>100</w:t>
            </w:r>
          </w:p>
        </w:tc>
        <w:tc>
          <w:tcPr>
            <w:tcW w:w="1081" w:type="dxa"/>
            <w:vAlign w:val="center"/>
          </w:tcPr>
          <w:p w14:paraId="4381E170">
            <w:pPr>
              <w:spacing w:line="400" w:lineRule="exact"/>
              <w:ind w:firstLine="0" w:firstLineChars="0"/>
              <w:jc w:val="center"/>
              <w:rPr>
                <w:rFonts w:eastAsiaTheme="minorEastAsia"/>
                <w:sz w:val="21"/>
                <w:szCs w:val="21"/>
              </w:rPr>
            </w:pPr>
            <w:r>
              <w:rPr>
                <w:rFonts w:eastAsiaTheme="minorEastAsia"/>
                <w:sz w:val="21"/>
                <w:szCs w:val="21"/>
              </w:rPr>
              <w:t>约束性</w:t>
            </w:r>
          </w:p>
        </w:tc>
      </w:tr>
      <w:tr w14:paraId="0AB7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67" w:type="dxa"/>
            <w:vMerge w:val="continue"/>
            <w:vAlign w:val="center"/>
          </w:tcPr>
          <w:p w14:paraId="6C7DE92C">
            <w:pPr>
              <w:spacing w:line="288" w:lineRule="auto"/>
              <w:ind w:firstLine="0" w:firstLineChars="0"/>
              <w:jc w:val="center"/>
              <w:rPr>
                <w:rFonts w:eastAsiaTheme="minorEastAsia"/>
                <w:sz w:val="21"/>
                <w:szCs w:val="21"/>
              </w:rPr>
            </w:pPr>
          </w:p>
        </w:tc>
        <w:tc>
          <w:tcPr>
            <w:tcW w:w="521" w:type="dxa"/>
            <w:vAlign w:val="center"/>
          </w:tcPr>
          <w:p w14:paraId="3D5DD893">
            <w:pPr>
              <w:spacing w:line="400" w:lineRule="exact"/>
              <w:ind w:firstLine="0" w:firstLineChars="0"/>
              <w:jc w:val="center"/>
              <w:rPr>
                <w:rFonts w:eastAsiaTheme="minorEastAsia"/>
                <w:sz w:val="21"/>
                <w:szCs w:val="21"/>
              </w:rPr>
            </w:pPr>
            <w:r>
              <w:rPr>
                <w:rFonts w:eastAsiaTheme="minorEastAsia"/>
                <w:sz w:val="21"/>
                <w:szCs w:val="21"/>
              </w:rPr>
              <w:t>4</w:t>
            </w:r>
          </w:p>
        </w:tc>
        <w:tc>
          <w:tcPr>
            <w:tcW w:w="3107" w:type="dxa"/>
            <w:gridSpan w:val="2"/>
            <w:vAlign w:val="center"/>
          </w:tcPr>
          <w:p w14:paraId="7CC34E12">
            <w:pPr>
              <w:spacing w:line="240" w:lineRule="auto"/>
              <w:ind w:firstLine="0" w:firstLineChars="0"/>
              <w:jc w:val="center"/>
              <w:rPr>
                <w:rFonts w:eastAsiaTheme="minorEastAsia"/>
                <w:sz w:val="21"/>
                <w:szCs w:val="21"/>
              </w:rPr>
            </w:pPr>
            <w:r>
              <w:rPr>
                <w:rFonts w:hint="eastAsia" w:eastAsiaTheme="minorEastAsia"/>
                <w:sz w:val="21"/>
                <w:szCs w:val="21"/>
              </w:rPr>
              <w:t>主要流域</w:t>
            </w:r>
            <w:r>
              <w:rPr>
                <w:rFonts w:eastAsiaTheme="minorEastAsia"/>
                <w:sz w:val="21"/>
                <w:szCs w:val="21"/>
              </w:rPr>
              <w:t>地表水质量好于III类水体比例</w:t>
            </w:r>
          </w:p>
        </w:tc>
        <w:tc>
          <w:tcPr>
            <w:tcW w:w="760" w:type="dxa"/>
            <w:vAlign w:val="center"/>
          </w:tcPr>
          <w:p w14:paraId="6146383A">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03064E79">
            <w:pPr>
              <w:spacing w:line="400" w:lineRule="exact"/>
              <w:ind w:firstLine="0" w:firstLineChars="0"/>
              <w:jc w:val="center"/>
              <w:rPr>
                <w:rFonts w:eastAsiaTheme="minorEastAsia"/>
                <w:sz w:val="21"/>
                <w:szCs w:val="21"/>
              </w:rPr>
            </w:pPr>
            <w:r>
              <w:rPr>
                <w:rFonts w:eastAsiaTheme="minorEastAsia"/>
                <w:sz w:val="21"/>
                <w:szCs w:val="21"/>
              </w:rPr>
              <w:t>100</w:t>
            </w:r>
          </w:p>
        </w:tc>
        <w:tc>
          <w:tcPr>
            <w:tcW w:w="1720" w:type="dxa"/>
            <w:vAlign w:val="center"/>
          </w:tcPr>
          <w:p w14:paraId="7D40C3BF">
            <w:pPr>
              <w:spacing w:line="400" w:lineRule="exact"/>
              <w:ind w:firstLine="0" w:firstLineChars="0"/>
              <w:jc w:val="center"/>
              <w:rPr>
                <w:rFonts w:eastAsiaTheme="minorEastAsia"/>
                <w:sz w:val="21"/>
                <w:szCs w:val="21"/>
              </w:rPr>
            </w:pPr>
            <w:r>
              <w:rPr>
                <w:rFonts w:eastAsiaTheme="minorEastAsia"/>
                <w:sz w:val="21"/>
                <w:szCs w:val="21"/>
              </w:rPr>
              <w:t>达到市考核标准</w:t>
            </w:r>
          </w:p>
        </w:tc>
        <w:tc>
          <w:tcPr>
            <w:tcW w:w="1081" w:type="dxa"/>
            <w:vAlign w:val="center"/>
          </w:tcPr>
          <w:p w14:paraId="63CE09C1">
            <w:pPr>
              <w:spacing w:line="400" w:lineRule="exact"/>
              <w:ind w:firstLine="0" w:firstLineChars="0"/>
              <w:jc w:val="center"/>
              <w:rPr>
                <w:rFonts w:eastAsiaTheme="minorEastAsia"/>
                <w:sz w:val="21"/>
                <w:szCs w:val="21"/>
              </w:rPr>
            </w:pPr>
            <w:r>
              <w:rPr>
                <w:rFonts w:eastAsiaTheme="minorEastAsia"/>
                <w:sz w:val="21"/>
                <w:szCs w:val="21"/>
              </w:rPr>
              <w:t>约束性</w:t>
            </w:r>
          </w:p>
        </w:tc>
      </w:tr>
      <w:tr w14:paraId="27C0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67" w:type="dxa"/>
            <w:vMerge w:val="continue"/>
            <w:vAlign w:val="center"/>
          </w:tcPr>
          <w:p w14:paraId="5EE67B40">
            <w:pPr>
              <w:spacing w:line="288" w:lineRule="auto"/>
              <w:ind w:firstLine="0" w:firstLineChars="0"/>
              <w:jc w:val="center"/>
              <w:rPr>
                <w:rFonts w:eastAsiaTheme="minorEastAsia"/>
                <w:sz w:val="21"/>
                <w:szCs w:val="21"/>
              </w:rPr>
            </w:pPr>
          </w:p>
        </w:tc>
        <w:tc>
          <w:tcPr>
            <w:tcW w:w="521" w:type="dxa"/>
            <w:vAlign w:val="center"/>
          </w:tcPr>
          <w:p w14:paraId="40A30D2F">
            <w:pPr>
              <w:spacing w:line="400" w:lineRule="exact"/>
              <w:ind w:firstLine="0" w:firstLineChars="0"/>
              <w:jc w:val="center"/>
              <w:rPr>
                <w:rFonts w:eastAsiaTheme="minorEastAsia"/>
                <w:sz w:val="21"/>
                <w:szCs w:val="21"/>
              </w:rPr>
            </w:pPr>
            <w:r>
              <w:rPr>
                <w:rFonts w:eastAsiaTheme="minorEastAsia"/>
                <w:sz w:val="21"/>
                <w:szCs w:val="21"/>
              </w:rPr>
              <w:t>5</w:t>
            </w:r>
          </w:p>
        </w:tc>
        <w:tc>
          <w:tcPr>
            <w:tcW w:w="3107" w:type="dxa"/>
            <w:gridSpan w:val="2"/>
            <w:vAlign w:val="center"/>
          </w:tcPr>
          <w:p w14:paraId="27754992">
            <w:pPr>
              <w:spacing w:line="400" w:lineRule="exact"/>
              <w:ind w:firstLine="0" w:firstLineChars="0"/>
              <w:jc w:val="center"/>
              <w:rPr>
                <w:rFonts w:eastAsiaTheme="minorEastAsia"/>
                <w:sz w:val="21"/>
                <w:szCs w:val="21"/>
              </w:rPr>
            </w:pPr>
            <w:r>
              <w:rPr>
                <w:rFonts w:eastAsiaTheme="minorEastAsia"/>
                <w:sz w:val="21"/>
                <w:szCs w:val="21"/>
              </w:rPr>
              <w:t>地表水质量劣V类水体比例</w:t>
            </w:r>
          </w:p>
        </w:tc>
        <w:tc>
          <w:tcPr>
            <w:tcW w:w="760" w:type="dxa"/>
            <w:vAlign w:val="center"/>
          </w:tcPr>
          <w:p w14:paraId="42E5D96C">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59EFA7B4">
            <w:pPr>
              <w:spacing w:line="400" w:lineRule="exact"/>
              <w:ind w:firstLine="0" w:firstLineChars="0"/>
              <w:jc w:val="center"/>
              <w:rPr>
                <w:rFonts w:eastAsiaTheme="minorEastAsia"/>
                <w:sz w:val="21"/>
                <w:szCs w:val="21"/>
              </w:rPr>
            </w:pPr>
            <w:r>
              <w:rPr>
                <w:rFonts w:eastAsiaTheme="minorEastAsia"/>
                <w:sz w:val="21"/>
                <w:szCs w:val="21"/>
              </w:rPr>
              <w:t>0</w:t>
            </w:r>
          </w:p>
        </w:tc>
        <w:tc>
          <w:tcPr>
            <w:tcW w:w="1720" w:type="dxa"/>
            <w:vAlign w:val="center"/>
          </w:tcPr>
          <w:p w14:paraId="610A1B1F">
            <w:pPr>
              <w:spacing w:line="400" w:lineRule="exact"/>
              <w:ind w:firstLine="0" w:firstLineChars="0"/>
              <w:jc w:val="center"/>
              <w:rPr>
                <w:rFonts w:eastAsiaTheme="minorEastAsia"/>
                <w:sz w:val="21"/>
                <w:szCs w:val="21"/>
              </w:rPr>
            </w:pPr>
            <w:r>
              <w:rPr>
                <w:rFonts w:eastAsiaTheme="minorEastAsia"/>
                <w:sz w:val="21"/>
                <w:szCs w:val="21"/>
              </w:rPr>
              <w:t>0</w:t>
            </w:r>
          </w:p>
        </w:tc>
        <w:tc>
          <w:tcPr>
            <w:tcW w:w="1081" w:type="dxa"/>
            <w:vAlign w:val="center"/>
          </w:tcPr>
          <w:p w14:paraId="4640D327">
            <w:pPr>
              <w:spacing w:line="400" w:lineRule="exact"/>
              <w:ind w:firstLine="0" w:firstLineChars="0"/>
              <w:jc w:val="center"/>
              <w:rPr>
                <w:rFonts w:eastAsiaTheme="minorEastAsia"/>
                <w:sz w:val="21"/>
                <w:szCs w:val="21"/>
              </w:rPr>
            </w:pPr>
            <w:r>
              <w:rPr>
                <w:rFonts w:eastAsiaTheme="minorEastAsia"/>
                <w:sz w:val="21"/>
                <w:szCs w:val="21"/>
              </w:rPr>
              <w:t>约束性</w:t>
            </w:r>
          </w:p>
        </w:tc>
      </w:tr>
      <w:tr w14:paraId="4DC1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67" w:type="dxa"/>
            <w:vMerge w:val="continue"/>
            <w:vAlign w:val="center"/>
          </w:tcPr>
          <w:p w14:paraId="6411EAF4">
            <w:pPr>
              <w:spacing w:line="288" w:lineRule="auto"/>
              <w:ind w:firstLine="0" w:firstLineChars="0"/>
              <w:jc w:val="center"/>
              <w:rPr>
                <w:rFonts w:eastAsiaTheme="minorEastAsia"/>
                <w:sz w:val="21"/>
                <w:szCs w:val="21"/>
              </w:rPr>
            </w:pPr>
          </w:p>
        </w:tc>
        <w:tc>
          <w:tcPr>
            <w:tcW w:w="521" w:type="dxa"/>
            <w:vAlign w:val="center"/>
          </w:tcPr>
          <w:p w14:paraId="7C8E9C12">
            <w:pPr>
              <w:spacing w:line="400" w:lineRule="exact"/>
              <w:ind w:firstLine="0" w:firstLineChars="0"/>
              <w:jc w:val="center"/>
              <w:rPr>
                <w:rFonts w:eastAsiaTheme="minorEastAsia"/>
                <w:sz w:val="21"/>
                <w:szCs w:val="21"/>
              </w:rPr>
            </w:pPr>
            <w:r>
              <w:rPr>
                <w:rFonts w:eastAsiaTheme="minorEastAsia"/>
                <w:sz w:val="21"/>
                <w:szCs w:val="21"/>
              </w:rPr>
              <w:t>6</w:t>
            </w:r>
          </w:p>
        </w:tc>
        <w:tc>
          <w:tcPr>
            <w:tcW w:w="3107" w:type="dxa"/>
            <w:gridSpan w:val="2"/>
            <w:vAlign w:val="center"/>
          </w:tcPr>
          <w:p w14:paraId="2027EDCE">
            <w:pPr>
              <w:spacing w:line="400" w:lineRule="exact"/>
              <w:ind w:firstLine="0" w:firstLineChars="0"/>
              <w:jc w:val="center"/>
              <w:rPr>
                <w:rFonts w:eastAsiaTheme="minorEastAsia"/>
                <w:sz w:val="21"/>
                <w:szCs w:val="21"/>
              </w:rPr>
            </w:pPr>
            <w:r>
              <w:rPr>
                <w:rFonts w:hint="eastAsia" w:eastAsiaTheme="minorEastAsia"/>
                <w:sz w:val="21"/>
                <w:szCs w:val="21"/>
              </w:rPr>
              <w:t>省考</w:t>
            </w:r>
            <w:r>
              <w:rPr>
                <w:rFonts w:eastAsiaTheme="minorEastAsia"/>
                <w:sz w:val="21"/>
                <w:szCs w:val="21"/>
              </w:rPr>
              <w:t>小流域水质好于III类比例</w:t>
            </w:r>
          </w:p>
        </w:tc>
        <w:tc>
          <w:tcPr>
            <w:tcW w:w="760" w:type="dxa"/>
            <w:vAlign w:val="center"/>
          </w:tcPr>
          <w:p w14:paraId="099E530B">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09A5411D">
            <w:pPr>
              <w:spacing w:line="400" w:lineRule="exact"/>
              <w:ind w:firstLine="0" w:firstLineChars="0"/>
              <w:jc w:val="center"/>
              <w:rPr>
                <w:rFonts w:eastAsiaTheme="minorEastAsia"/>
                <w:sz w:val="21"/>
                <w:szCs w:val="21"/>
              </w:rPr>
            </w:pPr>
            <w:r>
              <w:rPr>
                <w:rFonts w:eastAsiaTheme="minorEastAsia"/>
                <w:sz w:val="21"/>
                <w:szCs w:val="21"/>
              </w:rPr>
              <w:t>100</w:t>
            </w:r>
          </w:p>
        </w:tc>
        <w:tc>
          <w:tcPr>
            <w:tcW w:w="1720" w:type="dxa"/>
            <w:vAlign w:val="center"/>
          </w:tcPr>
          <w:p w14:paraId="308E2865">
            <w:pPr>
              <w:spacing w:line="400" w:lineRule="exact"/>
              <w:ind w:firstLine="0" w:firstLineChars="0"/>
              <w:jc w:val="center"/>
              <w:rPr>
                <w:rFonts w:eastAsiaTheme="minorEastAsia"/>
                <w:sz w:val="21"/>
                <w:szCs w:val="21"/>
              </w:rPr>
            </w:pPr>
            <w:r>
              <w:rPr>
                <w:rFonts w:eastAsiaTheme="minorEastAsia"/>
                <w:sz w:val="21"/>
                <w:szCs w:val="21"/>
              </w:rPr>
              <w:t>达到市考核标准</w:t>
            </w:r>
          </w:p>
        </w:tc>
        <w:tc>
          <w:tcPr>
            <w:tcW w:w="1081" w:type="dxa"/>
            <w:vAlign w:val="center"/>
          </w:tcPr>
          <w:p w14:paraId="6BC42FC7">
            <w:pPr>
              <w:spacing w:line="400" w:lineRule="exact"/>
              <w:ind w:firstLine="0" w:firstLineChars="0"/>
              <w:jc w:val="center"/>
              <w:rPr>
                <w:rFonts w:eastAsiaTheme="minorEastAsia"/>
                <w:sz w:val="21"/>
                <w:szCs w:val="21"/>
              </w:rPr>
            </w:pPr>
            <w:r>
              <w:rPr>
                <w:rFonts w:eastAsiaTheme="minorEastAsia"/>
                <w:sz w:val="21"/>
                <w:szCs w:val="21"/>
              </w:rPr>
              <w:t>约束性</w:t>
            </w:r>
          </w:p>
        </w:tc>
      </w:tr>
      <w:tr w14:paraId="3474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67" w:type="dxa"/>
            <w:vMerge w:val="continue"/>
            <w:vAlign w:val="center"/>
          </w:tcPr>
          <w:p w14:paraId="7F743AF7">
            <w:pPr>
              <w:spacing w:line="288" w:lineRule="auto"/>
              <w:ind w:firstLine="0" w:firstLineChars="0"/>
              <w:jc w:val="center"/>
              <w:rPr>
                <w:rFonts w:eastAsiaTheme="minorEastAsia"/>
                <w:sz w:val="21"/>
                <w:szCs w:val="21"/>
              </w:rPr>
            </w:pPr>
          </w:p>
        </w:tc>
        <w:tc>
          <w:tcPr>
            <w:tcW w:w="521" w:type="dxa"/>
            <w:vAlign w:val="center"/>
          </w:tcPr>
          <w:p w14:paraId="07F14646">
            <w:pPr>
              <w:spacing w:line="400" w:lineRule="exact"/>
              <w:ind w:firstLine="0" w:firstLineChars="0"/>
              <w:jc w:val="center"/>
              <w:rPr>
                <w:rFonts w:eastAsiaTheme="minorEastAsia"/>
                <w:sz w:val="21"/>
                <w:szCs w:val="21"/>
              </w:rPr>
            </w:pPr>
            <w:r>
              <w:rPr>
                <w:rFonts w:eastAsiaTheme="minorEastAsia"/>
                <w:sz w:val="21"/>
                <w:szCs w:val="21"/>
              </w:rPr>
              <w:t>7</w:t>
            </w:r>
          </w:p>
        </w:tc>
        <w:tc>
          <w:tcPr>
            <w:tcW w:w="3107" w:type="dxa"/>
            <w:gridSpan w:val="2"/>
            <w:vAlign w:val="center"/>
          </w:tcPr>
          <w:p w14:paraId="7C851688">
            <w:pPr>
              <w:spacing w:line="400" w:lineRule="exact"/>
              <w:ind w:firstLine="0" w:firstLineChars="0"/>
              <w:jc w:val="center"/>
              <w:rPr>
                <w:rFonts w:eastAsiaTheme="minorEastAsia"/>
                <w:sz w:val="21"/>
                <w:szCs w:val="21"/>
              </w:rPr>
            </w:pPr>
            <w:r>
              <w:rPr>
                <w:rFonts w:eastAsiaTheme="minorEastAsia"/>
                <w:sz w:val="21"/>
                <w:szCs w:val="21"/>
              </w:rPr>
              <w:t>地下水质量V类水比例</w:t>
            </w:r>
          </w:p>
        </w:tc>
        <w:tc>
          <w:tcPr>
            <w:tcW w:w="760" w:type="dxa"/>
            <w:vAlign w:val="center"/>
          </w:tcPr>
          <w:p w14:paraId="700660C1">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47BAD715">
            <w:pPr>
              <w:spacing w:line="400" w:lineRule="exact"/>
              <w:ind w:firstLine="0" w:firstLineChars="0"/>
              <w:jc w:val="center"/>
              <w:rPr>
                <w:rFonts w:eastAsiaTheme="minorEastAsia"/>
                <w:sz w:val="21"/>
                <w:szCs w:val="21"/>
              </w:rPr>
            </w:pPr>
            <w:r>
              <w:rPr>
                <w:rFonts w:hint="eastAsia" w:eastAsiaTheme="minorEastAsia"/>
                <w:sz w:val="21"/>
                <w:szCs w:val="21"/>
              </w:rPr>
              <w:t>0</w:t>
            </w:r>
          </w:p>
        </w:tc>
        <w:tc>
          <w:tcPr>
            <w:tcW w:w="1720" w:type="dxa"/>
            <w:vAlign w:val="center"/>
          </w:tcPr>
          <w:p w14:paraId="44DE49BB">
            <w:pPr>
              <w:spacing w:line="400" w:lineRule="exact"/>
              <w:ind w:firstLine="0" w:firstLineChars="0"/>
              <w:jc w:val="center"/>
              <w:rPr>
                <w:rFonts w:eastAsiaTheme="minorEastAsia"/>
                <w:sz w:val="21"/>
                <w:szCs w:val="21"/>
              </w:rPr>
            </w:pPr>
            <w:r>
              <w:rPr>
                <w:rFonts w:hint="eastAsia" w:eastAsiaTheme="minorEastAsia"/>
                <w:sz w:val="21"/>
                <w:szCs w:val="21"/>
              </w:rPr>
              <w:t>保持稳定</w:t>
            </w:r>
          </w:p>
        </w:tc>
        <w:tc>
          <w:tcPr>
            <w:tcW w:w="1081" w:type="dxa"/>
            <w:vAlign w:val="center"/>
          </w:tcPr>
          <w:p w14:paraId="6C6C46BF">
            <w:pPr>
              <w:spacing w:line="400" w:lineRule="exact"/>
              <w:ind w:firstLine="0" w:firstLineChars="0"/>
              <w:jc w:val="center"/>
              <w:rPr>
                <w:rFonts w:eastAsiaTheme="minorEastAsia"/>
                <w:sz w:val="21"/>
                <w:szCs w:val="21"/>
              </w:rPr>
            </w:pPr>
            <w:r>
              <w:rPr>
                <w:rFonts w:eastAsiaTheme="minorEastAsia"/>
                <w:sz w:val="21"/>
                <w:szCs w:val="21"/>
              </w:rPr>
              <w:t>约束性</w:t>
            </w:r>
          </w:p>
        </w:tc>
      </w:tr>
      <w:tr w14:paraId="6FA4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7262D395">
            <w:pPr>
              <w:spacing w:line="288" w:lineRule="auto"/>
              <w:ind w:firstLine="0" w:firstLineChars="0"/>
              <w:jc w:val="center"/>
              <w:rPr>
                <w:rFonts w:eastAsiaTheme="minorEastAsia"/>
                <w:sz w:val="21"/>
                <w:szCs w:val="21"/>
              </w:rPr>
            </w:pPr>
            <w:r>
              <w:rPr>
                <w:rFonts w:eastAsiaTheme="minorEastAsia"/>
                <w:sz w:val="21"/>
                <w:szCs w:val="21"/>
              </w:rPr>
              <w:t>绿色发展</w:t>
            </w:r>
          </w:p>
        </w:tc>
        <w:tc>
          <w:tcPr>
            <w:tcW w:w="521" w:type="dxa"/>
            <w:vAlign w:val="center"/>
          </w:tcPr>
          <w:p w14:paraId="3C2A0C72">
            <w:pPr>
              <w:spacing w:line="400" w:lineRule="exact"/>
              <w:ind w:firstLine="0" w:firstLineChars="0"/>
              <w:jc w:val="center"/>
              <w:rPr>
                <w:rFonts w:eastAsiaTheme="minorEastAsia"/>
                <w:sz w:val="21"/>
                <w:szCs w:val="21"/>
              </w:rPr>
            </w:pPr>
            <w:r>
              <w:rPr>
                <w:rFonts w:eastAsiaTheme="minorEastAsia"/>
                <w:sz w:val="21"/>
                <w:szCs w:val="21"/>
              </w:rPr>
              <w:t>8</w:t>
            </w:r>
          </w:p>
        </w:tc>
        <w:tc>
          <w:tcPr>
            <w:tcW w:w="3107" w:type="dxa"/>
            <w:gridSpan w:val="2"/>
            <w:vAlign w:val="center"/>
          </w:tcPr>
          <w:p w14:paraId="21652D38">
            <w:pPr>
              <w:spacing w:line="240" w:lineRule="auto"/>
              <w:ind w:firstLine="0" w:firstLineChars="0"/>
              <w:jc w:val="center"/>
              <w:rPr>
                <w:rFonts w:eastAsiaTheme="minorEastAsia"/>
                <w:sz w:val="21"/>
                <w:szCs w:val="21"/>
              </w:rPr>
            </w:pPr>
            <w:r>
              <w:rPr>
                <w:rFonts w:eastAsiaTheme="minorEastAsia"/>
                <w:sz w:val="21"/>
                <w:szCs w:val="21"/>
              </w:rPr>
              <w:t>单位地区生产总值二氧化碳排放降低</w:t>
            </w:r>
          </w:p>
        </w:tc>
        <w:tc>
          <w:tcPr>
            <w:tcW w:w="760" w:type="dxa"/>
            <w:vAlign w:val="center"/>
          </w:tcPr>
          <w:p w14:paraId="32409D41">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3C16E03B">
            <w:pPr>
              <w:spacing w:line="400" w:lineRule="exact"/>
              <w:ind w:firstLine="0" w:firstLineChars="0"/>
              <w:jc w:val="center"/>
              <w:rPr>
                <w:rFonts w:eastAsiaTheme="minorEastAsia"/>
                <w:sz w:val="21"/>
                <w:szCs w:val="21"/>
              </w:rPr>
            </w:pPr>
            <w:r>
              <w:rPr>
                <w:rFonts w:eastAsiaTheme="minorEastAsia"/>
                <w:sz w:val="21"/>
                <w:szCs w:val="21"/>
              </w:rPr>
              <w:t>--</w:t>
            </w:r>
          </w:p>
        </w:tc>
        <w:tc>
          <w:tcPr>
            <w:tcW w:w="1720" w:type="dxa"/>
            <w:vAlign w:val="center"/>
          </w:tcPr>
          <w:p w14:paraId="32079FD3">
            <w:pPr>
              <w:spacing w:line="400" w:lineRule="exact"/>
              <w:ind w:firstLine="0" w:firstLineChars="0"/>
              <w:jc w:val="center"/>
              <w:rPr>
                <w:rFonts w:eastAsiaTheme="minorEastAsia"/>
                <w:sz w:val="21"/>
                <w:szCs w:val="21"/>
              </w:rPr>
            </w:pPr>
            <w:r>
              <w:rPr>
                <w:rFonts w:eastAsiaTheme="minorEastAsia"/>
                <w:sz w:val="21"/>
                <w:szCs w:val="21"/>
              </w:rPr>
              <w:t>完成市下达指标</w:t>
            </w:r>
          </w:p>
        </w:tc>
        <w:tc>
          <w:tcPr>
            <w:tcW w:w="1081" w:type="dxa"/>
            <w:vAlign w:val="center"/>
          </w:tcPr>
          <w:p w14:paraId="0225E7A4">
            <w:pPr>
              <w:spacing w:line="400" w:lineRule="exact"/>
              <w:ind w:firstLine="0" w:firstLineChars="0"/>
              <w:jc w:val="center"/>
              <w:rPr>
                <w:rFonts w:eastAsiaTheme="minorEastAsia"/>
                <w:sz w:val="21"/>
                <w:szCs w:val="21"/>
              </w:rPr>
            </w:pPr>
            <w:r>
              <w:rPr>
                <w:rFonts w:eastAsiaTheme="minorEastAsia"/>
                <w:sz w:val="21"/>
                <w:szCs w:val="21"/>
              </w:rPr>
              <w:t>约束性</w:t>
            </w:r>
          </w:p>
        </w:tc>
      </w:tr>
      <w:tr w14:paraId="3B40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67" w:type="dxa"/>
            <w:vMerge w:val="continue"/>
            <w:vAlign w:val="center"/>
          </w:tcPr>
          <w:p w14:paraId="08FDFF92">
            <w:pPr>
              <w:spacing w:line="288" w:lineRule="auto"/>
              <w:ind w:firstLine="0" w:firstLineChars="0"/>
              <w:jc w:val="center"/>
              <w:rPr>
                <w:rFonts w:eastAsiaTheme="minorEastAsia"/>
                <w:sz w:val="21"/>
                <w:szCs w:val="21"/>
              </w:rPr>
            </w:pPr>
          </w:p>
        </w:tc>
        <w:tc>
          <w:tcPr>
            <w:tcW w:w="521" w:type="dxa"/>
            <w:vAlign w:val="center"/>
          </w:tcPr>
          <w:p w14:paraId="56236A69">
            <w:pPr>
              <w:spacing w:line="400" w:lineRule="exact"/>
              <w:ind w:firstLine="0" w:firstLineChars="0"/>
              <w:jc w:val="center"/>
              <w:rPr>
                <w:rFonts w:eastAsiaTheme="minorEastAsia"/>
                <w:sz w:val="21"/>
                <w:szCs w:val="21"/>
              </w:rPr>
            </w:pPr>
            <w:r>
              <w:rPr>
                <w:rFonts w:eastAsiaTheme="minorEastAsia"/>
                <w:sz w:val="21"/>
                <w:szCs w:val="21"/>
              </w:rPr>
              <w:t>9</w:t>
            </w:r>
          </w:p>
        </w:tc>
        <w:tc>
          <w:tcPr>
            <w:tcW w:w="3107" w:type="dxa"/>
            <w:gridSpan w:val="2"/>
            <w:vAlign w:val="center"/>
          </w:tcPr>
          <w:p w14:paraId="6D8EA4E3">
            <w:pPr>
              <w:spacing w:line="400" w:lineRule="exact"/>
              <w:ind w:firstLine="0" w:firstLineChars="0"/>
              <w:jc w:val="center"/>
              <w:rPr>
                <w:rFonts w:eastAsiaTheme="minorEastAsia"/>
                <w:sz w:val="21"/>
                <w:szCs w:val="21"/>
              </w:rPr>
            </w:pPr>
            <w:r>
              <w:rPr>
                <w:rFonts w:eastAsiaTheme="minorEastAsia"/>
                <w:sz w:val="21"/>
                <w:szCs w:val="21"/>
              </w:rPr>
              <w:t>非化石能源占一次能源消费比例</w:t>
            </w:r>
          </w:p>
        </w:tc>
        <w:tc>
          <w:tcPr>
            <w:tcW w:w="760" w:type="dxa"/>
            <w:vAlign w:val="center"/>
          </w:tcPr>
          <w:p w14:paraId="3DF85A52">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03E06BC1">
            <w:pPr>
              <w:spacing w:line="400" w:lineRule="exact"/>
              <w:ind w:firstLine="0" w:firstLineChars="0"/>
              <w:jc w:val="center"/>
              <w:rPr>
                <w:rFonts w:eastAsiaTheme="minorEastAsia"/>
                <w:sz w:val="21"/>
                <w:szCs w:val="21"/>
              </w:rPr>
            </w:pPr>
            <w:r>
              <w:rPr>
                <w:rFonts w:eastAsiaTheme="minorEastAsia"/>
                <w:sz w:val="21"/>
                <w:szCs w:val="21"/>
              </w:rPr>
              <w:t>--</w:t>
            </w:r>
          </w:p>
        </w:tc>
        <w:tc>
          <w:tcPr>
            <w:tcW w:w="1720" w:type="dxa"/>
            <w:vAlign w:val="center"/>
          </w:tcPr>
          <w:p w14:paraId="14403F57">
            <w:pPr>
              <w:spacing w:line="400" w:lineRule="exact"/>
              <w:ind w:firstLine="0" w:firstLineChars="0"/>
              <w:jc w:val="center"/>
              <w:rPr>
                <w:rFonts w:eastAsiaTheme="minorEastAsia"/>
                <w:sz w:val="21"/>
                <w:szCs w:val="21"/>
              </w:rPr>
            </w:pPr>
            <w:r>
              <w:rPr>
                <w:rFonts w:eastAsiaTheme="minorEastAsia"/>
                <w:sz w:val="21"/>
                <w:szCs w:val="21"/>
              </w:rPr>
              <w:t>完成市下达指标</w:t>
            </w:r>
          </w:p>
        </w:tc>
        <w:tc>
          <w:tcPr>
            <w:tcW w:w="1081" w:type="dxa"/>
            <w:vAlign w:val="center"/>
          </w:tcPr>
          <w:p w14:paraId="27DF3B7F">
            <w:pPr>
              <w:spacing w:line="400" w:lineRule="exact"/>
              <w:ind w:firstLine="0" w:firstLineChars="0"/>
              <w:jc w:val="center"/>
              <w:rPr>
                <w:rFonts w:eastAsiaTheme="minorEastAsia"/>
                <w:sz w:val="21"/>
                <w:szCs w:val="21"/>
              </w:rPr>
            </w:pPr>
            <w:r>
              <w:rPr>
                <w:rFonts w:eastAsiaTheme="minorEastAsia"/>
                <w:sz w:val="21"/>
                <w:szCs w:val="21"/>
              </w:rPr>
              <w:t>预期性</w:t>
            </w:r>
          </w:p>
        </w:tc>
      </w:tr>
      <w:tr w14:paraId="4722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14:paraId="44D04F92">
            <w:pPr>
              <w:spacing w:line="288" w:lineRule="auto"/>
              <w:ind w:firstLine="0" w:firstLineChars="0"/>
              <w:jc w:val="center"/>
              <w:rPr>
                <w:rFonts w:eastAsiaTheme="minorEastAsia"/>
                <w:sz w:val="21"/>
                <w:szCs w:val="21"/>
              </w:rPr>
            </w:pPr>
          </w:p>
        </w:tc>
        <w:tc>
          <w:tcPr>
            <w:tcW w:w="521" w:type="dxa"/>
            <w:vAlign w:val="center"/>
          </w:tcPr>
          <w:p w14:paraId="3D11FEDE">
            <w:pPr>
              <w:spacing w:line="400" w:lineRule="exact"/>
              <w:ind w:firstLine="0" w:firstLineChars="0"/>
              <w:jc w:val="center"/>
              <w:rPr>
                <w:rFonts w:eastAsiaTheme="minorEastAsia"/>
                <w:sz w:val="21"/>
                <w:szCs w:val="21"/>
              </w:rPr>
            </w:pPr>
            <w:r>
              <w:rPr>
                <w:rFonts w:eastAsiaTheme="minorEastAsia"/>
                <w:sz w:val="21"/>
                <w:szCs w:val="21"/>
              </w:rPr>
              <w:t>10</w:t>
            </w:r>
          </w:p>
        </w:tc>
        <w:tc>
          <w:tcPr>
            <w:tcW w:w="3107" w:type="dxa"/>
            <w:gridSpan w:val="2"/>
            <w:vAlign w:val="center"/>
          </w:tcPr>
          <w:p w14:paraId="14C4C7EF">
            <w:pPr>
              <w:spacing w:line="400" w:lineRule="exact"/>
              <w:ind w:firstLine="0" w:firstLineChars="0"/>
              <w:jc w:val="center"/>
              <w:rPr>
                <w:rFonts w:eastAsiaTheme="minorEastAsia"/>
                <w:sz w:val="21"/>
                <w:szCs w:val="21"/>
              </w:rPr>
            </w:pPr>
            <w:r>
              <w:rPr>
                <w:rFonts w:eastAsiaTheme="minorEastAsia"/>
                <w:sz w:val="21"/>
                <w:szCs w:val="21"/>
              </w:rPr>
              <w:t>单位地区生产总值能源消耗降低</w:t>
            </w:r>
          </w:p>
        </w:tc>
        <w:tc>
          <w:tcPr>
            <w:tcW w:w="760" w:type="dxa"/>
            <w:vAlign w:val="center"/>
          </w:tcPr>
          <w:p w14:paraId="05AEEC20">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0C9AA31E">
            <w:pPr>
              <w:spacing w:line="240" w:lineRule="auto"/>
              <w:ind w:firstLine="0" w:firstLineChars="0"/>
              <w:jc w:val="center"/>
              <w:rPr>
                <w:rFonts w:eastAsiaTheme="minorEastAsia"/>
                <w:sz w:val="21"/>
                <w:szCs w:val="21"/>
              </w:rPr>
            </w:pPr>
            <w:r>
              <w:rPr>
                <w:rFonts w:hint="eastAsia" w:eastAsiaTheme="minorEastAsia"/>
                <w:sz w:val="21"/>
                <w:szCs w:val="21"/>
              </w:rPr>
              <w:t>已</w:t>
            </w:r>
            <w:r>
              <w:rPr>
                <w:rFonts w:eastAsiaTheme="minorEastAsia"/>
                <w:sz w:val="21"/>
                <w:szCs w:val="21"/>
              </w:rPr>
              <w:t>完成市下达指标</w:t>
            </w:r>
          </w:p>
        </w:tc>
        <w:tc>
          <w:tcPr>
            <w:tcW w:w="1720" w:type="dxa"/>
            <w:vAlign w:val="center"/>
          </w:tcPr>
          <w:p w14:paraId="6BB2F622">
            <w:pPr>
              <w:spacing w:line="400" w:lineRule="exact"/>
              <w:ind w:firstLine="0" w:firstLineChars="0"/>
              <w:jc w:val="center"/>
              <w:rPr>
                <w:rFonts w:eastAsiaTheme="minorEastAsia"/>
                <w:sz w:val="21"/>
                <w:szCs w:val="21"/>
              </w:rPr>
            </w:pPr>
            <w:r>
              <w:rPr>
                <w:rFonts w:eastAsiaTheme="minorEastAsia"/>
                <w:sz w:val="21"/>
                <w:szCs w:val="21"/>
              </w:rPr>
              <w:t>完成市下达指标</w:t>
            </w:r>
          </w:p>
        </w:tc>
        <w:tc>
          <w:tcPr>
            <w:tcW w:w="1081" w:type="dxa"/>
            <w:vAlign w:val="center"/>
          </w:tcPr>
          <w:p w14:paraId="6EA121B1">
            <w:pPr>
              <w:spacing w:line="400" w:lineRule="exact"/>
              <w:ind w:firstLine="0" w:firstLineChars="0"/>
              <w:jc w:val="center"/>
              <w:rPr>
                <w:rFonts w:eastAsiaTheme="minorEastAsia"/>
                <w:sz w:val="21"/>
                <w:szCs w:val="21"/>
              </w:rPr>
            </w:pPr>
            <w:r>
              <w:rPr>
                <w:rFonts w:eastAsiaTheme="minorEastAsia"/>
                <w:sz w:val="21"/>
                <w:szCs w:val="21"/>
              </w:rPr>
              <w:t>约束性</w:t>
            </w:r>
          </w:p>
        </w:tc>
      </w:tr>
      <w:tr w14:paraId="295A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67" w:type="dxa"/>
            <w:vMerge w:val="continue"/>
            <w:vAlign w:val="center"/>
          </w:tcPr>
          <w:p w14:paraId="1F23C040">
            <w:pPr>
              <w:spacing w:line="288" w:lineRule="auto"/>
              <w:ind w:firstLine="0" w:firstLineChars="0"/>
              <w:jc w:val="center"/>
              <w:rPr>
                <w:rFonts w:eastAsiaTheme="minorEastAsia"/>
                <w:sz w:val="21"/>
                <w:szCs w:val="21"/>
              </w:rPr>
            </w:pPr>
          </w:p>
        </w:tc>
        <w:tc>
          <w:tcPr>
            <w:tcW w:w="521" w:type="dxa"/>
            <w:vMerge w:val="restart"/>
            <w:vAlign w:val="center"/>
          </w:tcPr>
          <w:p w14:paraId="5C9CDC3E">
            <w:pPr>
              <w:spacing w:line="400" w:lineRule="exact"/>
              <w:ind w:firstLine="0" w:firstLineChars="0"/>
              <w:jc w:val="center"/>
              <w:rPr>
                <w:rFonts w:eastAsiaTheme="minorEastAsia"/>
                <w:sz w:val="21"/>
                <w:szCs w:val="21"/>
              </w:rPr>
            </w:pPr>
            <w:r>
              <w:rPr>
                <w:rFonts w:eastAsiaTheme="minorEastAsia"/>
                <w:sz w:val="21"/>
                <w:szCs w:val="21"/>
              </w:rPr>
              <w:t>11</w:t>
            </w:r>
          </w:p>
        </w:tc>
        <w:tc>
          <w:tcPr>
            <w:tcW w:w="1582" w:type="dxa"/>
            <w:vMerge w:val="restart"/>
            <w:vAlign w:val="center"/>
          </w:tcPr>
          <w:p w14:paraId="630EDBDF">
            <w:pPr>
              <w:spacing w:line="240" w:lineRule="auto"/>
              <w:ind w:firstLine="0" w:firstLineChars="0"/>
              <w:jc w:val="center"/>
              <w:rPr>
                <w:rFonts w:eastAsiaTheme="minorEastAsia"/>
                <w:sz w:val="21"/>
                <w:szCs w:val="21"/>
              </w:rPr>
            </w:pPr>
            <w:r>
              <w:rPr>
                <w:rFonts w:hint="eastAsia" w:eastAsiaTheme="minorEastAsia"/>
                <w:sz w:val="21"/>
                <w:szCs w:val="21"/>
              </w:rPr>
              <w:t>主要大气污染物排放量减少</w:t>
            </w:r>
          </w:p>
        </w:tc>
        <w:tc>
          <w:tcPr>
            <w:tcW w:w="1525" w:type="dxa"/>
            <w:vAlign w:val="center"/>
          </w:tcPr>
          <w:p w14:paraId="6F794B32">
            <w:pPr>
              <w:spacing w:line="400" w:lineRule="exact"/>
              <w:ind w:firstLine="0" w:firstLineChars="0"/>
              <w:jc w:val="center"/>
              <w:rPr>
                <w:rFonts w:eastAsiaTheme="minorEastAsia"/>
                <w:sz w:val="21"/>
                <w:szCs w:val="21"/>
              </w:rPr>
            </w:pPr>
            <w:r>
              <w:rPr>
                <w:rFonts w:hint="eastAsia" w:eastAsiaTheme="minorEastAsia"/>
                <w:sz w:val="21"/>
                <w:szCs w:val="21"/>
              </w:rPr>
              <w:t>氮氧化物</w:t>
            </w:r>
          </w:p>
        </w:tc>
        <w:tc>
          <w:tcPr>
            <w:tcW w:w="760" w:type="dxa"/>
            <w:vMerge w:val="restart"/>
            <w:vAlign w:val="center"/>
          </w:tcPr>
          <w:p w14:paraId="2C29C5D9">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Merge w:val="restart"/>
            <w:vAlign w:val="center"/>
          </w:tcPr>
          <w:p w14:paraId="2332B9CB">
            <w:pPr>
              <w:spacing w:line="240" w:lineRule="auto"/>
              <w:ind w:firstLine="0" w:firstLineChars="0"/>
              <w:jc w:val="center"/>
              <w:rPr>
                <w:rFonts w:eastAsiaTheme="minorEastAsia"/>
                <w:sz w:val="21"/>
                <w:szCs w:val="21"/>
              </w:rPr>
            </w:pPr>
            <w:r>
              <w:rPr>
                <w:rFonts w:hint="eastAsia" w:eastAsiaTheme="minorEastAsia"/>
                <w:sz w:val="21"/>
                <w:szCs w:val="21"/>
              </w:rPr>
              <w:t>已</w:t>
            </w:r>
            <w:r>
              <w:rPr>
                <w:rFonts w:eastAsiaTheme="minorEastAsia"/>
                <w:sz w:val="21"/>
                <w:szCs w:val="21"/>
              </w:rPr>
              <w:t>完成市下达指标</w:t>
            </w:r>
          </w:p>
        </w:tc>
        <w:tc>
          <w:tcPr>
            <w:tcW w:w="1720" w:type="dxa"/>
            <w:vMerge w:val="restart"/>
            <w:vAlign w:val="center"/>
          </w:tcPr>
          <w:p w14:paraId="0626BD21">
            <w:pPr>
              <w:spacing w:line="400" w:lineRule="exact"/>
              <w:ind w:firstLine="0" w:firstLineChars="0"/>
              <w:jc w:val="center"/>
              <w:rPr>
                <w:rFonts w:eastAsiaTheme="minorEastAsia"/>
                <w:sz w:val="21"/>
                <w:szCs w:val="21"/>
              </w:rPr>
            </w:pPr>
            <w:r>
              <w:rPr>
                <w:rFonts w:eastAsiaTheme="minorEastAsia"/>
                <w:sz w:val="21"/>
                <w:szCs w:val="21"/>
              </w:rPr>
              <w:t>完成市下达指标</w:t>
            </w:r>
          </w:p>
        </w:tc>
        <w:tc>
          <w:tcPr>
            <w:tcW w:w="1081" w:type="dxa"/>
            <w:vMerge w:val="restart"/>
            <w:vAlign w:val="center"/>
          </w:tcPr>
          <w:p w14:paraId="70EBFA52">
            <w:pPr>
              <w:spacing w:line="400" w:lineRule="exact"/>
              <w:ind w:firstLine="0" w:firstLineChars="0"/>
              <w:jc w:val="center"/>
              <w:rPr>
                <w:rFonts w:eastAsiaTheme="minorEastAsia"/>
                <w:sz w:val="21"/>
                <w:szCs w:val="21"/>
              </w:rPr>
            </w:pPr>
            <w:r>
              <w:rPr>
                <w:rFonts w:eastAsiaTheme="minorEastAsia"/>
                <w:sz w:val="21"/>
                <w:szCs w:val="21"/>
              </w:rPr>
              <w:t>约束性</w:t>
            </w:r>
          </w:p>
        </w:tc>
      </w:tr>
      <w:tr w14:paraId="618D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67" w:type="dxa"/>
            <w:vMerge w:val="continue"/>
            <w:vAlign w:val="center"/>
          </w:tcPr>
          <w:p w14:paraId="58DCDE71">
            <w:pPr>
              <w:spacing w:line="240" w:lineRule="auto"/>
              <w:ind w:firstLine="0" w:firstLineChars="0"/>
              <w:jc w:val="center"/>
            </w:pPr>
          </w:p>
        </w:tc>
        <w:tc>
          <w:tcPr>
            <w:tcW w:w="521" w:type="dxa"/>
            <w:vMerge w:val="continue"/>
            <w:vAlign w:val="center"/>
          </w:tcPr>
          <w:p w14:paraId="3D90C9A2">
            <w:pPr>
              <w:spacing w:line="400" w:lineRule="exact"/>
              <w:ind w:firstLine="0" w:firstLineChars="0"/>
              <w:jc w:val="center"/>
            </w:pPr>
          </w:p>
        </w:tc>
        <w:tc>
          <w:tcPr>
            <w:tcW w:w="1582" w:type="dxa"/>
            <w:vMerge w:val="continue"/>
            <w:vAlign w:val="center"/>
          </w:tcPr>
          <w:p w14:paraId="3A6A5C29">
            <w:pPr>
              <w:spacing w:line="240" w:lineRule="auto"/>
              <w:ind w:firstLine="0" w:firstLineChars="0"/>
              <w:jc w:val="center"/>
            </w:pPr>
          </w:p>
        </w:tc>
        <w:tc>
          <w:tcPr>
            <w:tcW w:w="1525" w:type="dxa"/>
            <w:vAlign w:val="center"/>
          </w:tcPr>
          <w:p w14:paraId="1E793306">
            <w:pPr>
              <w:spacing w:line="400" w:lineRule="exact"/>
              <w:ind w:firstLine="0" w:firstLineChars="0"/>
              <w:jc w:val="center"/>
              <w:rPr>
                <w:rFonts w:eastAsiaTheme="minorEastAsia"/>
                <w:sz w:val="21"/>
                <w:szCs w:val="21"/>
              </w:rPr>
            </w:pPr>
            <w:r>
              <w:rPr>
                <w:rFonts w:hint="eastAsia" w:eastAsiaTheme="minorEastAsia"/>
                <w:sz w:val="21"/>
                <w:szCs w:val="21"/>
              </w:rPr>
              <w:t>挥发性有机物</w:t>
            </w:r>
          </w:p>
        </w:tc>
        <w:tc>
          <w:tcPr>
            <w:tcW w:w="760" w:type="dxa"/>
            <w:vMerge w:val="continue"/>
            <w:vAlign w:val="center"/>
          </w:tcPr>
          <w:p w14:paraId="72A2F843">
            <w:pPr>
              <w:spacing w:line="400" w:lineRule="exact"/>
              <w:ind w:firstLine="0" w:firstLineChars="0"/>
              <w:jc w:val="center"/>
              <w:rPr>
                <w:rFonts w:eastAsiaTheme="minorEastAsia"/>
                <w:sz w:val="21"/>
                <w:szCs w:val="21"/>
              </w:rPr>
            </w:pPr>
          </w:p>
        </w:tc>
        <w:tc>
          <w:tcPr>
            <w:tcW w:w="1256" w:type="dxa"/>
            <w:vMerge w:val="continue"/>
            <w:vAlign w:val="center"/>
          </w:tcPr>
          <w:p w14:paraId="7BE49D42">
            <w:pPr>
              <w:spacing w:line="400" w:lineRule="exact"/>
              <w:ind w:firstLine="0" w:firstLineChars="0"/>
              <w:jc w:val="center"/>
              <w:rPr>
                <w:rFonts w:eastAsiaTheme="minorEastAsia"/>
                <w:sz w:val="21"/>
                <w:szCs w:val="21"/>
              </w:rPr>
            </w:pPr>
          </w:p>
        </w:tc>
        <w:tc>
          <w:tcPr>
            <w:tcW w:w="1720" w:type="dxa"/>
            <w:vMerge w:val="continue"/>
            <w:vAlign w:val="center"/>
          </w:tcPr>
          <w:p w14:paraId="60ACF627">
            <w:pPr>
              <w:spacing w:line="400" w:lineRule="exact"/>
              <w:ind w:firstLine="0" w:firstLineChars="0"/>
              <w:jc w:val="center"/>
              <w:rPr>
                <w:rFonts w:eastAsiaTheme="minorEastAsia"/>
                <w:sz w:val="21"/>
                <w:szCs w:val="21"/>
              </w:rPr>
            </w:pPr>
          </w:p>
        </w:tc>
        <w:tc>
          <w:tcPr>
            <w:tcW w:w="1081" w:type="dxa"/>
            <w:vMerge w:val="continue"/>
            <w:vAlign w:val="center"/>
          </w:tcPr>
          <w:p w14:paraId="460B4F2C">
            <w:pPr>
              <w:spacing w:line="400" w:lineRule="exact"/>
              <w:ind w:firstLine="0" w:firstLineChars="0"/>
              <w:jc w:val="center"/>
              <w:rPr>
                <w:rFonts w:eastAsiaTheme="minorEastAsia"/>
                <w:sz w:val="21"/>
                <w:szCs w:val="21"/>
              </w:rPr>
            </w:pPr>
          </w:p>
        </w:tc>
      </w:tr>
      <w:tr w14:paraId="2E52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 w:type="dxa"/>
            <w:vMerge w:val="continue"/>
            <w:vAlign w:val="center"/>
          </w:tcPr>
          <w:p w14:paraId="673522A1">
            <w:pPr>
              <w:spacing w:line="288" w:lineRule="auto"/>
              <w:ind w:firstLine="0" w:firstLineChars="0"/>
              <w:jc w:val="center"/>
              <w:rPr>
                <w:rFonts w:eastAsiaTheme="minorEastAsia"/>
                <w:sz w:val="21"/>
                <w:szCs w:val="21"/>
              </w:rPr>
            </w:pPr>
          </w:p>
        </w:tc>
        <w:tc>
          <w:tcPr>
            <w:tcW w:w="521" w:type="dxa"/>
            <w:vMerge w:val="continue"/>
            <w:vAlign w:val="center"/>
          </w:tcPr>
          <w:p w14:paraId="25760E24">
            <w:pPr>
              <w:spacing w:line="400" w:lineRule="exact"/>
              <w:ind w:firstLine="0" w:firstLineChars="0"/>
              <w:jc w:val="center"/>
              <w:rPr>
                <w:rFonts w:eastAsiaTheme="minorEastAsia"/>
                <w:sz w:val="21"/>
                <w:szCs w:val="21"/>
              </w:rPr>
            </w:pPr>
          </w:p>
        </w:tc>
        <w:tc>
          <w:tcPr>
            <w:tcW w:w="1582" w:type="dxa"/>
            <w:vMerge w:val="restart"/>
            <w:vAlign w:val="center"/>
          </w:tcPr>
          <w:p w14:paraId="3C66F69A">
            <w:pPr>
              <w:spacing w:line="240" w:lineRule="auto"/>
              <w:ind w:firstLine="0" w:firstLineChars="0"/>
              <w:jc w:val="center"/>
              <w:rPr>
                <w:rFonts w:eastAsiaTheme="minorEastAsia"/>
                <w:sz w:val="21"/>
                <w:szCs w:val="21"/>
              </w:rPr>
            </w:pPr>
            <w:r>
              <w:rPr>
                <w:rFonts w:hint="eastAsia" w:eastAsiaTheme="minorEastAsia"/>
                <w:sz w:val="21"/>
                <w:szCs w:val="21"/>
              </w:rPr>
              <w:t>主要水污染物排放量减少</w:t>
            </w:r>
          </w:p>
        </w:tc>
        <w:tc>
          <w:tcPr>
            <w:tcW w:w="1525" w:type="dxa"/>
            <w:vAlign w:val="center"/>
          </w:tcPr>
          <w:p w14:paraId="670E8ECD">
            <w:pPr>
              <w:spacing w:line="400" w:lineRule="exact"/>
              <w:ind w:firstLine="0" w:firstLineChars="0"/>
              <w:jc w:val="center"/>
              <w:rPr>
                <w:rFonts w:eastAsiaTheme="minorEastAsia"/>
                <w:sz w:val="21"/>
                <w:szCs w:val="21"/>
              </w:rPr>
            </w:pPr>
            <w:r>
              <w:rPr>
                <w:rFonts w:hint="eastAsia" w:eastAsiaTheme="minorEastAsia"/>
                <w:sz w:val="21"/>
                <w:szCs w:val="21"/>
              </w:rPr>
              <w:t>化学需氧量</w:t>
            </w:r>
          </w:p>
        </w:tc>
        <w:tc>
          <w:tcPr>
            <w:tcW w:w="760" w:type="dxa"/>
            <w:vMerge w:val="continue"/>
            <w:vAlign w:val="center"/>
          </w:tcPr>
          <w:p w14:paraId="4F866774">
            <w:pPr>
              <w:spacing w:line="400" w:lineRule="exact"/>
              <w:ind w:firstLine="0" w:firstLineChars="0"/>
              <w:jc w:val="center"/>
              <w:rPr>
                <w:rFonts w:eastAsiaTheme="minorEastAsia"/>
                <w:sz w:val="21"/>
                <w:szCs w:val="21"/>
              </w:rPr>
            </w:pPr>
          </w:p>
        </w:tc>
        <w:tc>
          <w:tcPr>
            <w:tcW w:w="1256" w:type="dxa"/>
            <w:vMerge w:val="continue"/>
            <w:vAlign w:val="center"/>
          </w:tcPr>
          <w:p w14:paraId="6DE3A1DF">
            <w:pPr>
              <w:spacing w:line="400" w:lineRule="exact"/>
              <w:ind w:firstLine="0" w:firstLineChars="0"/>
              <w:jc w:val="center"/>
              <w:rPr>
                <w:rFonts w:eastAsiaTheme="minorEastAsia"/>
                <w:sz w:val="21"/>
                <w:szCs w:val="21"/>
              </w:rPr>
            </w:pPr>
          </w:p>
        </w:tc>
        <w:tc>
          <w:tcPr>
            <w:tcW w:w="1720" w:type="dxa"/>
            <w:vMerge w:val="continue"/>
            <w:vAlign w:val="center"/>
          </w:tcPr>
          <w:p w14:paraId="40C0EB41">
            <w:pPr>
              <w:spacing w:line="400" w:lineRule="exact"/>
              <w:ind w:firstLine="0" w:firstLineChars="0"/>
              <w:jc w:val="center"/>
              <w:rPr>
                <w:rFonts w:eastAsiaTheme="minorEastAsia"/>
                <w:sz w:val="21"/>
                <w:szCs w:val="21"/>
              </w:rPr>
            </w:pPr>
          </w:p>
        </w:tc>
        <w:tc>
          <w:tcPr>
            <w:tcW w:w="1081" w:type="dxa"/>
            <w:vMerge w:val="continue"/>
            <w:vAlign w:val="center"/>
          </w:tcPr>
          <w:p w14:paraId="26BAFD28">
            <w:pPr>
              <w:spacing w:line="400" w:lineRule="exact"/>
              <w:ind w:firstLine="0" w:firstLineChars="0"/>
              <w:jc w:val="center"/>
              <w:rPr>
                <w:rFonts w:eastAsiaTheme="minorEastAsia"/>
                <w:sz w:val="21"/>
                <w:szCs w:val="21"/>
              </w:rPr>
            </w:pPr>
          </w:p>
        </w:tc>
      </w:tr>
      <w:tr w14:paraId="3D2E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67" w:type="dxa"/>
            <w:vMerge w:val="continue"/>
            <w:vAlign w:val="center"/>
          </w:tcPr>
          <w:p w14:paraId="0A5143E4">
            <w:pPr>
              <w:spacing w:line="240" w:lineRule="auto"/>
              <w:ind w:firstLine="0" w:firstLineChars="0"/>
              <w:jc w:val="center"/>
            </w:pPr>
          </w:p>
        </w:tc>
        <w:tc>
          <w:tcPr>
            <w:tcW w:w="521" w:type="dxa"/>
            <w:vMerge w:val="continue"/>
            <w:vAlign w:val="center"/>
          </w:tcPr>
          <w:p w14:paraId="08B3A8D1">
            <w:pPr>
              <w:spacing w:line="400" w:lineRule="exact"/>
              <w:ind w:firstLine="0" w:firstLineChars="0"/>
              <w:jc w:val="center"/>
            </w:pPr>
          </w:p>
        </w:tc>
        <w:tc>
          <w:tcPr>
            <w:tcW w:w="1582" w:type="dxa"/>
            <w:vMerge w:val="continue"/>
            <w:vAlign w:val="center"/>
          </w:tcPr>
          <w:p w14:paraId="76F14135">
            <w:pPr>
              <w:spacing w:line="400" w:lineRule="exact"/>
              <w:ind w:firstLine="0" w:firstLineChars="0"/>
              <w:jc w:val="center"/>
            </w:pPr>
          </w:p>
        </w:tc>
        <w:tc>
          <w:tcPr>
            <w:tcW w:w="1525" w:type="dxa"/>
            <w:vAlign w:val="center"/>
          </w:tcPr>
          <w:p w14:paraId="19C4724E">
            <w:pPr>
              <w:spacing w:line="400" w:lineRule="exact"/>
              <w:ind w:firstLine="0" w:firstLineChars="0"/>
              <w:jc w:val="center"/>
              <w:rPr>
                <w:rFonts w:eastAsiaTheme="minorEastAsia"/>
                <w:sz w:val="21"/>
                <w:szCs w:val="21"/>
              </w:rPr>
            </w:pPr>
            <w:r>
              <w:rPr>
                <w:rFonts w:hint="eastAsia" w:eastAsiaTheme="minorEastAsia"/>
                <w:sz w:val="21"/>
                <w:szCs w:val="21"/>
              </w:rPr>
              <w:t>氨氮</w:t>
            </w:r>
          </w:p>
        </w:tc>
        <w:tc>
          <w:tcPr>
            <w:tcW w:w="760" w:type="dxa"/>
            <w:vMerge w:val="continue"/>
            <w:vAlign w:val="center"/>
          </w:tcPr>
          <w:p w14:paraId="5D097BFA">
            <w:pPr>
              <w:spacing w:line="400" w:lineRule="exact"/>
              <w:ind w:firstLine="0" w:firstLineChars="0"/>
              <w:jc w:val="center"/>
              <w:rPr>
                <w:rFonts w:eastAsiaTheme="minorEastAsia"/>
                <w:sz w:val="21"/>
                <w:szCs w:val="21"/>
              </w:rPr>
            </w:pPr>
          </w:p>
        </w:tc>
        <w:tc>
          <w:tcPr>
            <w:tcW w:w="1256" w:type="dxa"/>
            <w:vMerge w:val="continue"/>
            <w:vAlign w:val="center"/>
          </w:tcPr>
          <w:p w14:paraId="66C52EEE">
            <w:pPr>
              <w:spacing w:line="400" w:lineRule="exact"/>
              <w:ind w:firstLine="0" w:firstLineChars="0"/>
              <w:jc w:val="center"/>
              <w:rPr>
                <w:rFonts w:eastAsiaTheme="minorEastAsia"/>
                <w:sz w:val="21"/>
                <w:szCs w:val="21"/>
              </w:rPr>
            </w:pPr>
          </w:p>
        </w:tc>
        <w:tc>
          <w:tcPr>
            <w:tcW w:w="1720" w:type="dxa"/>
            <w:vMerge w:val="continue"/>
            <w:vAlign w:val="center"/>
          </w:tcPr>
          <w:p w14:paraId="2E1545BB">
            <w:pPr>
              <w:spacing w:line="400" w:lineRule="exact"/>
              <w:ind w:firstLine="0" w:firstLineChars="0"/>
              <w:jc w:val="center"/>
              <w:rPr>
                <w:rFonts w:eastAsiaTheme="minorEastAsia"/>
                <w:sz w:val="21"/>
                <w:szCs w:val="21"/>
              </w:rPr>
            </w:pPr>
          </w:p>
        </w:tc>
        <w:tc>
          <w:tcPr>
            <w:tcW w:w="1081" w:type="dxa"/>
            <w:vMerge w:val="continue"/>
            <w:vAlign w:val="center"/>
          </w:tcPr>
          <w:p w14:paraId="4135077C">
            <w:pPr>
              <w:spacing w:line="400" w:lineRule="exact"/>
              <w:ind w:firstLine="0" w:firstLineChars="0"/>
              <w:jc w:val="center"/>
              <w:rPr>
                <w:rFonts w:eastAsiaTheme="minorEastAsia"/>
                <w:sz w:val="21"/>
                <w:szCs w:val="21"/>
              </w:rPr>
            </w:pPr>
          </w:p>
        </w:tc>
      </w:tr>
      <w:tr w14:paraId="651B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Merge w:val="continue"/>
            <w:vAlign w:val="center"/>
          </w:tcPr>
          <w:p w14:paraId="1541F2AB">
            <w:pPr>
              <w:spacing w:line="288" w:lineRule="auto"/>
              <w:ind w:firstLine="0" w:firstLineChars="0"/>
              <w:jc w:val="center"/>
              <w:rPr>
                <w:rFonts w:eastAsiaTheme="minorEastAsia"/>
                <w:sz w:val="21"/>
                <w:szCs w:val="21"/>
              </w:rPr>
            </w:pPr>
          </w:p>
        </w:tc>
        <w:tc>
          <w:tcPr>
            <w:tcW w:w="521" w:type="dxa"/>
            <w:vAlign w:val="center"/>
          </w:tcPr>
          <w:p w14:paraId="18DE9E54">
            <w:pPr>
              <w:spacing w:line="400" w:lineRule="exact"/>
              <w:ind w:firstLine="0" w:firstLineChars="0"/>
              <w:jc w:val="center"/>
              <w:rPr>
                <w:rFonts w:eastAsiaTheme="minorEastAsia"/>
                <w:sz w:val="21"/>
                <w:szCs w:val="21"/>
              </w:rPr>
            </w:pPr>
            <w:r>
              <w:rPr>
                <w:rFonts w:eastAsiaTheme="minorEastAsia"/>
                <w:sz w:val="21"/>
                <w:szCs w:val="21"/>
              </w:rPr>
              <w:t>12</w:t>
            </w:r>
          </w:p>
        </w:tc>
        <w:tc>
          <w:tcPr>
            <w:tcW w:w="3107" w:type="dxa"/>
            <w:gridSpan w:val="2"/>
            <w:vAlign w:val="center"/>
          </w:tcPr>
          <w:p w14:paraId="5469A3FA">
            <w:pPr>
              <w:spacing w:line="400" w:lineRule="exact"/>
              <w:ind w:firstLine="0" w:firstLineChars="0"/>
              <w:jc w:val="center"/>
              <w:rPr>
                <w:rFonts w:eastAsiaTheme="minorEastAsia"/>
                <w:sz w:val="21"/>
                <w:szCs w:val="21"/>
              </w:rPr>
            </w:pPr>
            <w:r>
              <w:rPr>
                <w:rFonts w:eastAsiaTheme="minorEastAsia"/>
                <w:sz w:val="21"/>
                <w:szCs w:val="21"/>
              </w:rPr>
              <w:t>万元生产总值用水量降低率</w:t>
            </w:r>
          </w:p>
        </w:tc>
        <w:tc>
          <w:tcPr>
            <w:tcW w:w="760" w:type="dxa"/>
            <w:vAlign w:val="center"/>
          </w:tcPr>
          <w:p w14:paraId="302E7502">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709D5333">
            <w:pPr>
              <w:spacing w:line="400" w:lineRule="exact"/>
              <w:ind w:firstLine="0" w:firstLineChars="0"/>
              <w:jc w:val="center"/>
              <w:rPr>
                <w:rFonts w:eastAsiaTheme="minorEastAsia"/>
                <w:sz w:val="21"/>
                <w:szCs w:val="21"/>
              </w:rPr>
            </w:pPr>
            <w:r>
              <w:rPr>
                <w:rFonts w:hint="eastAsia" w:eastAsiaTheme="minorEastAsia"/>
                <w:sz w:val="21"/>
                <w:szCs w:val="21"/>
              </w:rPr>
              <w:t>已</w:t>
            </w:r>
            <w:r>
              <w:rPr>
                <w:rFonts w:eastAsiaTheme="minorEastAsia"/>
                <w:sz w:val="21"/>
                <w:szCs w:val="21"/>
              </w:rPr>
              <w:t>完成市下达指标</w:t>
            </w:r>
          </w:p>
        </w:tc>
        <w:tc>
          <w:tcPr>
            <w:tcW w:w="1720" w:type="dxa"/>
            <w:vAlign w:val="center"/>
          </w:tcPr>
          <w:p w14:paraId="46F6B171">
            <w:pPr>
              <w:spacing w:line="400" w:lineRule="exact"/>
              <w:ind w:firstLine="0" w:firstLineChars="0"/>
              <w:jc w:val="center"/>
              <w:rPr>
                <w:rFonts w:eastAsiaTheme="minorEastAsia"/>
                <w:sz w:val="21"/>
                <w:szCs w:val="21"/>
              </w:rPr>
            </w:pPr>
            <w:r>
              <w:rPr>
                <w:rFonts w:eastAsiaTheme="minorEastAsia"/>
                <w:sz w:val="21"/>
                <w:szCs w:val="21"/>
              </w:rPr>
              <w:t>完成市下达指标</w:t>
            </w:r>
          </w:p>
        </w:tc>
        <w:tc>
          <w:tcPr>
            <w:tcW w:w="1081" w:type="dxa"/>
            <w:vAlign w:val="center"/>
          </w:tcPr>
          <w:p w14:paraId="7F299C11">
            <w:pPr>
              <w:spacing w:line="400" w:lineRule="exact"/>
              <w:ind w:firstLine="0" w:firstLineChars="0"/>
              <w:jc w:val="center"/>
              <w:rPr>
                <w:rFonts w:eastAsiaTheme="minorEastAsia"/>
                <w:sz w:val="21"/>
                <w:szCs w:val="21"/>
              </w:rPr>
            </w:pPr>
            <w:r>
              <w:rPr>
                <w:rFonts w:eastAsiaTheme="minorEastAsia"/>
                <w:sz w:val="21"/>
                <w:szCs w:val="21"/>
              </w:rPr>
              <w:t>预期性</w:t>
            </w:r>
          </w:p>
        </w:tc>
      </w:tr>
      <w:tr w14:paraId="7C2D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jc w:val="center"/>
        </w:trPr>
        <w:tc>
          <w:tcPr>
            <w:tcW w:w="567" w:type="dxa"/>
            <w:vMerge w:val="restart"/>
            <w:vAlign w:val="center"/>
          </w:tcPr>
          <w:p w14:paraId="12797286">
            <w:pPr>
              <w:spacing w:line="288" w:lineRule="auto"/>
              <w:ind w:firstLine="0" w:firstLineChars="0"/>
              <w:jc w:val="center"/>
              <w:rPr>
                <w:rFonts w:eastAsiaTheme="minorEastAsia"/>
                <w:sz w:val="21"/>
                <w:szCs w:val="21"/>
              </w:rPr>
            </w:pPr>
            <w:r>
              <w:rPr>
                <w:rFonts w:eastAsiaTheme="minorEastAsia"/>
                <w:sz w:val="21"/>
                <w:szCs w:val="21"/>
              </w:rPr>
              <w:t>环境治理</w:t>
            </w:r>
          </w:p>
        </w:tc>
        <w:tc>
          <w:tcPr>
            <w:tcW w:w="521" w:type="dxa"/>
            <w:vAlign w:val="center"/>
          </w:tcPr>
          <w:p w14:paraId="3ACF0156">
            <w:pPr>
              <w:spacing w:line="400" w:lineRule="exact"/>
              <w:ind w:firstLine="0" w:firstLineChars="0"/>
              <w:jc w:val="center"/>
              <w:rPr>
                <w:rFonts w:eastAsiaTheme="minorEastAsia"/>
                <w:sz w:val="21"/>
                <w:szCs w:val="21"/>
              </w:rPr>
            </w:pPr>
            <w:r>
              <w:rPr>
                <w:rFonts w:eastAsiaTheme="minorEastAsia"/>
                <w:sz w:val="21"/>
                <w:szCs w:val="21"/>
              </w:rPr>
              <w:t>13</w:t>
            </w:r>
          </w:p>
        </w:tc>
        <w:tc>
          <w:tcPr>
            <w:tcW w:w="3107" w:type="dxa"/>
            <w:gridSpan w:val="2"/>
            <w:vAlign w:val="center"/>
          </w:tcPr>
          <w:p w14:paraId="2F5CDEEC">
            <w:pPr>
              <w:spacing w:line="400" w:lineRule="exact"/>
              <w:ind w:firstLine="0" w:firstLineChars="0"/>
              <w:jc w:val="center"/>
              <w:rPr>
                <w:rFonts w:eastAsiaTheme="minorEastAsia"/>
                <w:sz w:val="21"/>
                <w:szCs w:val="21"/>
              </w:rPr>
            </w:pPr>
            <w:r>
              <w:rPr>
                <w:rFonts w:eastAsiaTheme="minorEastAsia"/>
                <w:sz w:val="21"/>
                <w:szCs w:val="21"/>
              </w:rPr>
              <w:t>城镇生活污水处理率</w:t>
            </w:r>
          </w:p>
        </w:tc>
        <w:tc>
          <w:tcPr>
            <w:tcW w:w="760" w:type="dxa"/>
            <w:vAlign w:val="center"/>
          </w:tcPr>
          <w:p w14:paraId="0956D2A7">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41FB3421">
            <w:pPr>
              <w:spacing w:line="400" w:lineRule="exact"/>
              <w:ind w:firstLine="0" w:firstLineChars="0"/>
              <w:jc w:val="center"/>
              <w:rPr>
                <w:rFonts w:eastAsiaTheme="minorEastAsia"/>
                <w:sz w:val="21"/>
                <w:szCs w:val="21"/>
              </w:rPr>
            </w:pPr>
            <w:r>
              <w:rPr>
                <w:rFonts w:eastAsiaTheme="minorEastAsia"/>
                <w:sz w:val="21"/>
                <w:szCs w:val="21"/>
              </w:rPr>
              <w:t>9</w:t>
            </w:r>
            <w:r>
              <w:rPr>
                <w:rFonts w:hint="eastAsia" w:eastAsiaTheme="minorEastAsia"/>
                <w:sz w:val="21"/>
                <w:szCs w:val="21"/>
              </w:rPr>
              <w:t>3</w:t>
            </w:r>
          </w:p>
        </w:tc>
        <w:tc>
          <w:tcPr>
            <w:tcW w:w="1720" w:type="dxa"/>
            <w:vAlign w:val="center"/>
          </w:tcPr>
          <w:p w14:paraId="752C379D">
            <w:pPr>
              <w:spacing w:line="400" w:lineRule="exact"/>
              <w:ind w:firstLine="0" w:firstLineChars="0"/>
              <w:jc w:val="center"/>
              <w:rPr>
                <w:rFonts w:eastAsiaTheme="minorEastAsia"/>
                <w:sz w:val="21"/>
                <w:szCs w:val="21"/>
              </w:rPr>
            </w:pPr>
            <w:r>
              <w:rPr>
                <w:rFonts w:eastAsiaTheme="minorEastAsia"/>
                <w:sz w:val="21"/>
                <w:szCs w:val="21"/>
              </w:rPr>
              <w:t>完成市下达指标</w:t>
            </w:r>
          </w:p>
        </w:tc>
        <w:tc>
          <w:tcPr>
            <w:tcW w:w="1081" w:type="dxa"/>
            <w:vAlign w:val="center"/>
          </w:tcPr>
          <w:p w14:paraId="0138A319">
            <w:pPr>
              <w:spacing w:line="400" w:lineRule="exact"/>
              <w:ind w:firstLine="0" w:firstLineChars="0"/>
              <w:jc w:val="center"/>
              <w:rPr>
                <w:rFonts w:eastAsiaTheme="minorEastAsia"/>
                <w:sz w:val="21"/>
                <w:szCs w:val="21"/>
              </w:rPr>
            </w:pPr>
            <w:r>
              <w:rPr>
                <w:rFonts w:eastAsiaTheme="minorEastAsia"/>
                <w:sz w:val="21"/>
                <w:szCs w:val="21"/>
              </w:rPr>
              <w:t>约束性</w:t>
            </w:r>
          </w:p>
        </w:tc>
      </w:tr>
      <w:tr w14:paraId="1947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7" w:type="dxa"/>
            <w:vMerge w:val="continue"/>
            <w:vAlign w:val="center"/>
          </w:tcPr>
          <w:p w14:paraId="6989BE64">
            <w:pPr>
              <w:spacing w:line="288" w:lineRule="auto"/>
              <w:ind w:firstLine="0" w:firstLineChars="0"/>
              <w:jc w:val="center"/>
              <w:rPr>
                <w:rFonts w:eastAsiaTheme="minorEastAsia"/>
                <w:sz w:val="21"/>
                <w:szCs w:val="21"/>
              </w:rPr>
            </w:pPr>
          </w:p>
        </w:tc>
        <w:tc>
          <w:tcPr>
            <w:tcW w:w="521" w:type="dxa"/>
            <w:vAlign w:val="center"/>
          </w:tcPr>
          <w:p w14:paraId="39B6049A">
            <w:pPr>
              <w:spacing w:line="400" w:lineRule="exact"/>
              <w:ind w:firstLine="0" w:firstLineChars="0"/>
              <w:jc w:val="center"/>
              <w:rPr>
                <w:rFonts w:eastAsiaTheme="minorEastAsia"/>
                <w:sz w:val="21"/>
                <w:szCs w:val="21"/>
              </w:rPr>
            </w:pPr>
            <w:r>
              <w:rPr>
                <w:rFonts w:eastAsiaTheme="minorEastAsia"/>
                <w:sz w:val="21"/>
                <w:szCs w:val="21"/>
              </w:rPr>
              <w:t>14</w:t>
            </w:r>
          </w:p>
        </w:tc>
        <w:tc>
          <w:tcPr>
            <w:tcW w:w="3107" w:type="dxa"/>
            <w:gridSpan w:val="2"/>
            <w:vAlign w:val="center"/>
          </w:tcPr>
          <w:p w14:paraId="41983810">
            <w:pPr>
              <w:spacing w:line="400" w:lineRule="exact"/>
              <w:ind w:firstLine="0" w:firstLineChars="0"/>
              <w:jc w:val="center"/>
              <w:rPr>
                <w:rFonts w:eastAsiaTheme="minorEastAsia"/>
                <w:sz w:val="21"/>
                <w:szCs w:val="21"/>
              </w:rPr>
            </w:pPr>
            <w:r>
              <w:rPr>
                <w:rFonts w:eastAsiaTheme="minorEastAsia"/>
                <w:sz w:val="21"/>
                <w:szCs w:val="21"/>
              </w:rPr>
              <w:t>农村生活污水治理</w:t>
            </w:r>
            <w:r>
              <w:rPr>
                <w:rFonts w:hint="eastAsia" w:eastAsiaTheme="minorEastAsia"/>
                <w:sz w:val="21"/>
                <w:szCs w:val="21"/>
              </w:rPr>
              <w:t>率</w:t>
            </w:r>
          </w:p>
        </w:tc>
        <w:tc>
          <w:tcPr>
            <w:tcW w:w="760" w:type="dxa"/>
            <w:vAlign w:val="center"/>
          </w:tcPr>
          <w:p w14:paraId="676CDBCF">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73F7A4BA">
            <w:pPr>
              <w:spacing w:line="400" w:lineRule="exact"/>
              <w:ind w:firstLine="0" w:firstLineChars="0"/>
              <w:jc w:val="center"/>
              <w:rPr>
                <w:rFonts w:eastAsiaTheme="minorEastAsia"/>
                <w:sz w:val="21"/>
                <w:szCs w:val="21"/>
              </w:rPr>
            </w:pPr>
            <w:r>
              <w:rPr>
                <w:rFonts w:eastAsiaTheme="minorEastAsia"/>
                <w:sz w:val="21"/>
                <w:szCs w:val="21"/>
              </w:rPr>
              <w:t>--</w:t>
            </w:r>
          </w:p>
        </w:tc>
        <w:tc>
          <w:tcPr>
            <w:tcW w:w="1720" w:type="dxa"/>
            <w:vAlign w:val="center"/>
          </w:tcPr>
          <w:p w14:paraId="7989BD0C">
            <w:pPr>
              <w:spacing w:line="400" w:lineRule="exact"/>
              <w:ind w:firstLine="0" w:firstLineChars="0"/>
              <w:jc w:val="center"/>
              <w:rPr>
                <w:rFonts w:eastAsiaTheme="minorEastAsia"/>
                <w:sz w:val="21"/>
                <w:szCs w:val="21"/>
              </w:rPr>
            </w:pPr>
            <w:r>
              <w:rPr>
                <w:rFonts w:eastAsiaTheme="minorEastAsia"/>
                <w:sz w:val="21"/>
                <w:szCs w:val="21"/>
              </w:rPr>
              <w:t>≥</w:t>
            </w:r>
            <w:r>
              <w:rPr>
                <w:rFonts w:hint="eastAsia" w:eastAsiaTheme="minorEastAsia"/>
                <w:sz w:val="21"/>
                <w:szCs w:val="21"/>
              </w:rPr>
              <w:t>90</w:t>
            </w:r>
          </w:p>
        </w:tc>
        <w:tc>
          <w:tcPr>
            <w:tcW w:w="1081" w:type="dxa"/>
            <w:vAlign w:val="center"/>
          </w:tcPr>
          <w:p w14:paraId="1668A1DB">
            <w:pPr>
              <w:spacing w:line="400" w:lineRule="exact"/>
              <w:ind w:firstLine="0" w:firstLineChars="0"/>
              <w:jc w:val="center"/>
              <w:rPr>
                <w:rFonts w:eastAsiaTheme="minorEastAsia"/>
                <w:sz w:val="21"/>
                <w:szCs w:val="21"/>
              </w:rPr>
            </w:pPr>
            <w:r>
              <w:rPr>
                <w:rFonts w:eastAsiaTheme="minorEastAsia"/>
                <w:sz w:val="21"/>
                <w:szCs w:val="21"/>
              </w:rPr>
              <w:t>预期性</w:t>
            </w:r>
          </w:p>
        </w:tc>
      </w:tr>
      <w:tr w14:paraId="5339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67" w:type="dxa"/>
            <w:vMerge w:val="continue"/>
            <w:vAlign w:val="center"/>
          </w:tcPr>
          <w:p w14:paraId="1650EB4A">
            <w:pPr>
              <w:spacing w:line="288" w:lineRule="auto"/>
              <w:ind w:firstLine="0" w:firstLineChars="0"/>
              <w:jc w:val="center"/>
              <w:rPr>
                <w:rFonts w:eastAsiaTheme="minorEastAsia"/>
                <w:sz w:val="21"/>
                <w:szCs w:val="21"/>
              </w:rPr>
            </w:pPr>
          </w:p>
        </w:tc>
        <w:tc>
          <w:tcPr>
            <w:tcW w:w="521" w:type="dxa"/>
            <w:vAlign w:val="center"/>
          </w:tcPr>
          <w:p w14:paraId="07F10163">
            <w:pPr>
              <w:spacing w:line="400" w:lineRule="exact"/>
              <w:ind w:firstLine="0" w:firstLineChars="0"/>
              <w:jc w:val="center"/>
              <w:rPr>
                <w:rFonts w:eastAsiaTheme="minorEastAsia"/>
                <w:sz w:val="21"/>
                <w:szCs w:val="21"/>
              </w:rPr>
            </w:pPr>
            <w:r>
              <w:rPr>
                <w:rFonts w:eastAsiaTheme="minorEastAsia"/>
                <w:sz w:val="21"/>
                <w:szCs w:val="21"/>
              </w:rPr>
              <w:t>15</w:t>
            </w:r>
          </w:p>
        </w:tc>
        <w:tc>
          <w:tcPr>
            <w:tcW w:w="3107" w:type="dxa"/>
            <w:gridSpan w:val="2"/>
            <w:vAlign w:val="center"/>
          </w:tcPr>
          <w:p w14:paraId="7A9B6CA1">
            <w:pPr>
              <w:spacing w:line="400" w:lineRule="exact"/>
              <w:ind w:firstLine="0" w:firstLineChars="0"/>
              <w:jc w:val="center"/>
              <w:rPr>
                <w:rFonts w:eastAsiaTheme="minorEastAsia"/>
                <w:sz w:val="21"/>
                <w:szCs w:val="21"/>
              </w:rPr>
            </w:pPr>
            <w:r>
              <w:rPr>
                <w:rFonts w:eastAsiaTheme="minorEastAsia"/>
                <w:sz w:val="21"/>
                <w:szCs w:val="21"/>
              </w:rPr>
              <w:t>生活垃圾无害化处理率</w:t>
            </w:r>
          </w:p>
        </w:tc>
        <w:tc>
          <w:tcPr>
            <w:tcW w:w="760" w:type="dxa"/>
            <w:vAlign w:val="center"/>
          </w:tcPr>
          <w:p w14:paraId="29AA7311">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3404B352">
            <w:pPr>
              <w:spacing w:line="400" w:lineRule="exact"/>
              <w:ind w:firstLine="0" w:firstLineChars="0"/>
              <w:jc w:val="center"/>
              <w:rPr>
                <w:rFonts w:eastAsiaTheme="minorEastAsia"/>
                <w:sz w:val="21"/>
                <w:szCs w:val="21"/>
              </w:rPr>
            </w:pPr>
            <w:r>
              <w:rPr>
                <w:rFonts w:eastAsiaTheme="minorEastAsia"/>
                <w:sz w:val="21"/>
                <w:szCs w:val="21"/>
              </w:rPr>
              <w:t>100</w:t>
            </w:r>
          </w:p>
        </w:tc>
        <w:tc>
          <w:tcPr>
            <w:tcW w:w="1720" w:type="dxa"/>
            <w:vAlign w:val="center"/>
          </w:tcPr>
          <w:p w14:paraId="4AF24126">
            <w:pPr>
              <w:spacing w:line="400" w:lineRule="exact"/>
              <w:ind w:firstLine="0" w:firstLineChars="0"/>
              <w:jc w:val="center"/>
              <w:rPr>
                <w:rFonts w:eastAsiaTheme="minorEastAsia"/>
                <w:sz w:val="21"/>
                <w:szCs w:val="21"/>
              </w:rPr>
            </w:pPr>
            <w:r>
              <w:rPr>
                <w:rFonts w:eastAsiaTheme="minorEastAsia"/>
                <w:sz w:val="21"/>
                <w:szCs w:val="21"/>
              </w:rPr>
              <w:t>100</w:t>
            </w:r>
          </w:p>
        </w:tc>
        <w:tc>
          <w:tcPr>
            <w:tcW w:w="1081" w:type="dxa"/>
            <w:vAlign w:val="center"/>
          </w:tcPr>
          <w:p w14:paraId="54DCA121">
            <w:pPr>
              <w:spacing w:line="400" w:lineRule="exact"/>
              <w:ind w:firstLine="0" w:firstLineChars="0"/>
              <w:jc w:val="center"/>
              <w:rPr>
                <w:rFonts w:eastAsiaTheme="minorEastAsia"/>
                <w:sz w:val="21"/>
                <w:szCs w:val="21"/>
              </w:rPr>
            </w:pPr>
            <w:r>
              <w:rPr>
                <w:rFonts w:eastAsiaTheme="minorEastAsia"/>
                <w:sz w:val="21"/>
                <w:szCs w:val="21"/>
              </w:rPr>
              <w:t>预期性</w:t>
            </w:r>
          </w:p>
        </w:tc>
      </w:tr>
      <w:tr w14:paraId="129D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67" w:type="dxa"/>
            <w:vMerge w:val="restart"/>
            <w:vAlign w:val="center"/>
          </w:tcPr>
          <w:p w14:paraId="610154D1">
            <w:pPr>
              <w:spacing w:line="288" w:lineRule="auto"/>
              <w:ind w:firstLine="0" w:firstLineChars="0"/>
              <w:jc w:val="center"/>
              <w:rPr>
                <w:rFonts w:eastAsiaTheme="minorEastAsia"/>
                <w:sz w:val="21"/>
                <w:szCs w:val="21"/>
              </w:rPr>
            </w:pPr>
            <w:r>
              <w:rPr>
                <w:rFonts w:eastAsiaTheme="minorEastAsia"/>
                <w:sz w:val="21"/>
                <w:szCs w:val="21"/>
              </w:rPr>
              <w:t>风险管控</w:t>
            </w:r>
          </w:p>
        </w:tc>
        <w:tc>
          <w:tcPr>
            <w:tcW w:w="521" w:type="dxa"/>
            <w:vAlign w:val="center"/>
          </w:tcPr>
          <w:p w14:paraId="1C7B7D2F">
            <w:pPr>
              <w:spacing w:line="400" w:lineRule="exact"/>
              <w:ind w:firstLine="0" w:firstLineChars="0"/>
              <w:jc w:val="center"/>
              <w:rPr>
                <w:rFonts w:eastAsiaTheme="minorEastAsia"/>
                <w:sz w:val="21"/>
                <w:szCs w:val="21"/>
              </w:rPr>
            </w:pPr>
            <w:r>
              <w:rPr>
                <w:rFonts w:eastAsiaTheme="minorEastAsia"/>
                <w:sz w:val="21"/>
                <w:szCs w:val="21"/>
              </w:rPr>
              <w:t>16</w:t>
            </w:r>
          </w:p>
        </w:tc>
        <w:tc>
          <w:tcPr>
            <w:tcW w:w="3107" w:type="dxa"/>
            <w:gridSpan w:val="2"/>
            <w:vAlign w:val="center"/>
          </w:tcPr>
          <w:p w14:paraId="5D2337DD">
            <w:pPr>
              <w:spacing w:line="400" w:lineRule="exact"/>
              <w:ind w:firstLine="0" w:firstLineChars="0"/>
              <w:jc w:val="center"/>
              <w:rPr>
                <w:rFonts w:eastAsiaTheme="minorEastAsia"/>
                <w:sz w:val="21"/>
                <w:szCs w:val="21"/>
              </w:rPr>
            </w:pPr>
            <w:r>
              <w:rPr>
                <w:rFonts w:eastAsiaTheme="minorEastAsia"/>
                <w:sz w:val="21"/>
                <w:szCs w:val="21"/>
              </w:rPr>
              <w:t>受污染耕地安全利用率</w:t>
            </w:r>
          </w:p>
        </w:tc>
        <w:tc>
          <w:tcPr>
            <w:tcW w:w="760" w:type="dxa"/>
            <w:vAlign w:val="center"/>
          </w:tcPr>
          <w:p w14:paraId="4ABE9017">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410D1550">
            <w:pPr>
              <w:spacing w:line="400" w:lineRule="exact"/>
              <w:ind w:firstLine="0" w:firstLineChars="0"/>
              <w:jc w:val="center"/>
              <w:rPr>
                <w:rFonts w:eastAsiaTheme="minorEastAsia"/>
                <w:sz w:val="21"/>
                <w:szCs w:val="21"/>
              </w:rPr>
            </w:pPr>
            <w:r>
              <w:rPr>
                <w:rFonts w:eastAsiaTheme="minorEastAsia"/>
                <w:sz w:val="21"/>
                <w:szCs w:val="21"/>
              </w:rPr>
              <w:t>--</w:t>
            </w:r>
          </w:p>
        </w:tc>
        <w:tc>
          <w:tcPr>
            <w:tcW w:w="1720" w:type="dxa"/>
            <w:vAlign w:val="center"/>
          </w:tcPr>
          <w:p w14:paraId="5F509166">
            <w:pPr>
              <w:spacing w:line="400" w:lineRule="exact"/>
              <w:ind w:firstLine="0" w:firstLineChars="0"/>
              <w:jc w:val="center"/>
              <w:rPr>
                <w:rFonts w:eastAsiaTheme="minorEastAsia"/>
                <w:sz w:val="21"/>
                <w:szCs w:val="21"/>
              </w:rPr>
            </w:pPr>
            <w:r>
              <w:rPr>
                <w:rFonts w:hint="eastAsia" w:eastAsiaTheme="minorEastAsia"/>
                <w:sz w:val="21"/>
                <w:szCs w:val="21"/>
              </w:rPr>
              <w:t>完成市下达指标</w:t>
            </w:r>
          </w:p>
        </w:tc>
        <w:tc>
          <w:tcPr>
            <w:tcW w:w="1081" w:type="dxa"/>
            <w:vAlign w:val="center"/>
          </w:tcPr>
          <w:p w14:paraId="0D93B9AA">
            <w:pPr>
              <w:spacing w:line="400" w:lineRule="exact"/>
              <w:ind w:firstLine="0" w:firstLineChars="0"/>
              <w:jc w:val="center"/>
              <w:rPr>
                <w:rFonts w:eastAsiaTheme="minorEastAsia"/>
                <w:sz w:val="21"/>
                <w:szCs w:val="21"/>
              </w:rPr>
            </w:pPr>
            <w:r>
              <w:rPr>
                <w:rFonts w:eastAsiaTheme="minorEastAsia"/>
                <w:sz w:val="21"/>
                <w:szCs w:val="21"/>
              </w:rPr>
              <w:t>约束性</w:t>
            </w:r>
          </w:p>
        </w:tc>
      </w:tr>
      <w:tr w14:paraId="506D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67" w:type="dxa"/>
            <w:vMerge w:val="continue"/>
            <w:vAlign w:val="center"/>
          </w:tcPr>
          <w:p w14:paraId="3AA1C658">
            <w:pPr>
              <w:spacing w:line="288" w:lineRule="auto"/>
              <w:ind w:firstLine="0" w:firstLineChars="0"/>
              <w:jc w:val="center"/>
              <w:rPr>
                <w:rFonts w:eastAsiaTheme="minorEastAsia"/>
                <w:sz w:val="21"/>
                <w:szCs w:val="21"/>
              </w:rPr>
            </w:pPr>
          </w:p>
        </w:tc>
        <w:tc>
          <w:tcPr>
            <w:tcW w:w="521" w:type="dxa"/>
            <w:vAlign w:val="center"/>
          </w:tcPr>
          <w:p w14:paraId="6FE5E849">
            <w:pPr>
              <w:spacing w:line="400" w:lineRule="exact"/>
              <w:ind w:firstLine="0" w:firstLineChars="0"/>
              <w:jc w:val="center"/>
              <w:rPr>
                <w:rFonts w:eastAsiaTheme="minorEastAsia"/>
                <w:sz w:val="21"/>
                <w:szCs w:val="21"/>
              </w:rPr>
            </w:pPr>
            <w:r>
              <w:rPr>
                <w:rFonts w:eastAsiaTheme="minorEastAsia"/>
                <w:sz w:val="21"/>
                <w:szCs w:val="21"/>
              </w:rPr>
              <w:t>17</w:t>
            </w:r>
          </w:p>
        </w:tc>
        <w:tc>
          <w:tcPr>
            <w:tcW w:w="3107" w:type="dxa"/>
            <w:gridSpan w:val="2"/>
            <w:vAlign w:val="center"/>
          </w:tcPr>
          <w:p w14:paraId="26E81F13">
            <w:pPr>
              <w:spacing w:line="400" w:lineRule="exact"/>
              <w:ind w:firstLine="0" w:firstLineChars="0"/>
              <w:jc w:val="center"/>
              <w:rPr>
                <w:rFonts w:eastAsiaTheme="minorEastAsia"/>
                <w:sz w:val="21"/>
                <w:szCs w:val="21"/>
              </w:rPr>
            </w:pPr>
            <w:r>
              <w:rPr>
                <w:rFonts w:hint="eastAsia" w:eastAsiaTheme="minorEastAsia"/>
                <w:sz w:val="21"/>
                <w:szCs w:val="21"/>
              </w:rPr>
              <w:t>重点建设用地</w:t>
            </w:r>
            <w:r>
              <w:rPr>
                <w:rFonts w:eastAsiaTheme="minorEastAsia"/>
                <w:sz w:val="21"/>
                <w:szCs w:val="21"/>
              </w:rPr>
              <w:t>安全利用率</w:t>
            </w:r>
          </w:p>
        </w:tc>
        <w:tc>
          <w:tcPr>
            <w:tcW w:w="760" w:type="dxa"/>
            <w:vAlign w:val="center"/>
          </w:tcPr>
          <w:p w14:paraId="7ECFE7E2">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7CF79957">
            <w:pPr>
              <w:spacing w:line="400" w:lineRule="exact"/>
              <w:ind w:firstLine="0" w:firstLineChars="0"/>
              <w:jc w:val="center"/>
              <w:rPr>
                <w:rFonts w:eastAsiaTheme="minorEastAsia"/>
                <w:sz w:val="21"/>
                <w:szCs w:val="21"/>
              </w:rPr>
            </w:pPr>
            <w:r>
              <w:rPr>
                <w:rFonts w:eastAsiaTheme="minorEastAsia"/>
                <w:sz w:val="21"/>
                <w:szCs w:val="21"/>
              </w:rPr>
              <w:t>--</w:t>
            </w:r>
          </w:p>
        </w:tc>
        <w:tc>
          <w:tcPr>
            <w:tcW w:w="1720" w:type="dxa"/>
            <w:vAlign w:val="center"/>
          </w:tcPr>
          <w:p w14:paraId="4901FAC7">
            <w:pPr>
              <w:spacing w:line="400" w:lineRule="exact"/>
              <w:ind w:firstLine="0" w:firstLineChars="0"/>
              <w:jc w:val="center"/>
              <w:rPr>
                <w:rFonts w:eastAsiaTheme="minorEastAsia"/>
                <w:sz w:val="21"/>
                <w:szCs w:val="21"/>
              </w:rPr>
            </w:pPr>
            <w:r>
              <w:rPr>
                <w:rFonts w:hint="eastAsia" w:eastAsiaTheme="minorEastAsia"/>
                <w:sz w:val="21"/>
                <w:szCs w:val="21"/>
              </w:rPr>
              <w:t>有效保障</w:t>
            </w:r>
          </w:p>
        </w:tc>
        <w:tc>
          <w:tcPr>
            <w:tcW w:w="1081" w:type="dxa"/>
            <w:vAlign w:val="center"/>
          </w:tcPr>
          <w:p w14:paraId="06981E5D">
            <w:pPr>
              <w:spacing w:line="400" w:lineRule="exact"/>
              <w:ind w:firstLine="0" w:firstLineChars="0"/>
              <w:jc w:val="center"/>
              <w:rPr>
                <w:rFonts w:eastAsiaTheme="minorEastAsia"/>
                <w:sz w:val="21"/>
                <w:szCs w:val="21"/>
              </w:rPr>
            </w:pPr>
            <w:r>
              <w:rPr>
                <w:rFonts w:eastAsiaTheme="minorEastAsia"/>
                <w:sz w:val="21"/>
                <w:szCs w:val="21"/>
              </w:rPr>
              <w:t>约束性</w:t>
            </w:r>
          </w:p>
        </w:tc>
      </w:tr>
      <w:tr w14:paraId="59FD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67" w:type="dxa"/>
            <w:vMerge w:val="continue"/>
            <w:vAlign w:val="center"/>
          </w:tcPr>
          <w:p w14:paraId="05A63646">
            <w:pPr>
              <w:spacing w:line="288" w:lineRule="auto"/>
              <w:ind w:firstLine="0" w:firstLineChars="0"/>
              <w:jc w:val="center"/>
              <w:rPr>
                <w:rFonts w:eastAsiaTheme="minorEastAsia"/>
                <w:sz w:val="21"/>
                <w:szCs w:val="21"/>
              </w:rPr>
            </w:pPr>
          </w:p>
        </w:tc>
        <w:tc>
          <w:tcPr>
            <w:tcW w:w="521" w:type="dxa"/>
            <w:vAlign w:val="center"/>
          </w:tcPr>
          <w:p w14:paraId="33208678">
            <w:pPr>
              <w:spacing w:line="400" w:lineRule="exact"/>
              <w:ind w:firstLine="0" w:firstLineChars="0"/>
              <w:jc w:val="center"/>
              <w:rPr>
                <w:rFonts w:eastAsiaTheme="minorEastAsia"/>
                <w:sz w:val="21"/>
                <w:szCs w:val="21"/>
              </w:rPr>
            </w:pPr>
            <w:r>
              <w:rPr>
                <w:rFonts w:eastAsiaTheme="minorEastAsia"/>
                <w:sz w:val="21"/>
                <w:szCs w:val="21"/>
              </w:rPr>
              <w:t>18</w:t>
            </w:r>
          </w:p>
        </w:tc>
        <w:tc>
          <w:tcPr>
            <w:tcW w:w="3107" w:type="dxa"/>
            <w:gridSpan w:val="2"/>
            <w:vAlign w:val="center"/>
          </w:tcPr>
          <w:p w14:paraId="091747D2">
            <w:pPr>
              <w:spacing w:line="400" w:lineRule="exact"/>
              <w:ind w:firstLine="0" w:firstLineChars="0"/>
              <w:jc w:val="center"/>
              <w:rPr>
                <w:rFonts w:eastAsiaTheme="minorEastAsia"/>
                <w:sz w:val="21"/>
                <w:szCs w:val="21"/>
              </w:rPr>
            </w:pPr>
            <w:r>
              <w:rPr>
                <w:rFonts w:eastAsiaTheme="minorEastAsia"/>
                <w:sz w:val="21"/>
                <w:szCs w:val="21"/>
              </w:rPr>
              <w:t>工业危险废物安全处置率</w:t>
            </w:r>
          </w:p>
        </w:tc>
        <w:tc>
          <w:tcPr>
            <w:tcW w:w="760" w:type="dxa"/>
            <w:vAlign w:val="center"/>
          </w:tcPr>
          <w:p w14:paraId="45441165">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4E34569B">
            <w:pPr>
              <w:spacing w:line="400" w:lineRule="exact"/>
              <w:ind w:firstLine="0" w:firstLineChars="0"/>
              <w:jc w:val="center"/>
              <w:rPr>
                <w:rFonts w:eastAsiaTheme="minorEastAsia"/>
                <w:sz w:val="21"/>
                <w:szCs w:val="21"/>
              </w:rPr>
            </w:pPr>
            <w:r>
              <w:rPr>
                <w:rFonts w:eastAsiaTheme="minorEastAsia"/>
                <w:sz w:val="21"/>
                <w:szCs w:val="21"/>
              </w:rPr>
              <w:t>100</w:t>
            </w:r>
          </w:p>
        </w:tc>
        <w:tc>
          <w:tcPr>
            <w:tcW w:w="1720" w:type="dxa"/>
            <w:vAlign w:val="center"/>
          </w:tcPr>
          <w:p w14:paraId="37F46110">
            <w:pPr>
              <w:spacing w:line="400" w:lineRule="exact"/>
              <w:ind w:firstLine="0" w:firstLineChars="0"/>
              <w:jc w:val="center"/>
              <w:rPr>
                <w:rFonts w:eastAsiaTheme="minorEastAsia"/>
                <w:sz w:val="21"/>
                <w:szCs w:val="21"/>
              </w:rPr>
            </w:pPr>
            <w:r>
              <w:rPr>
                <w:rFonts w:eastAsiaTheme="minorEastAsia"/>
                <w:sz w:val="21"/>
                <w:szCs w:val="21"/>
              </w:rPr>
              <w:t>100</w:t>
            </w:r>
          </w:p>
        </w:tc>
        <w:tc>
          <w:tcPr>
            <w:tcW w:w="1081" w:type="dxa"/>
            <w:vAlign w:val="center"/>
          </w:tcPr>
          <w:p w14:paraId="64903D5E">
            <w:pPr>
              <w:spacing w:line="400" w:lineRule="exact"/>
              <w:ind w:firstLine="0" w:firstLineChars="0"/>
              <w:jc w:val="center"/>
              <w:rPr>
                <w:rFonts w:eastAsiaTheme="minorEastAsia"/>
                <w:sz w:val="21"/>
                <w:szCs w:val="21"/>
              </w:rPr>
            </w:pPr>
            <w:r>
              <w:rPr>
                <w:rFonts w:eastAsiaTheme="minorEastAsia"/>
                <w:sz w:val="21"/>
                <w:szCs w:val="21"/>
              </w:rPr>
              <w:t>约束性</w:t>
            </w:r>
          </w:p>
        </w:tc>
      </w:tr>
      <w:tr w14:paraId="7612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67" w:type="dxa"/>
            <w:vMerge w:val="continue"/>
            <w:vAlign w:val="center"/>
          </w:tcPr>
          <w:p w14:paraId="78C7DA21">
            <w:pPr>
              <w:spacing w:line="288" w:lineRule="auto"/>
              <w:ind w:firstLine="0" w:firstLineChars="0"/>
              <w:jc w:val="center"/>
              <w:rPr>
                <w:rFonts w:eastAsiaTheme="minorEastAsia"/>
                <w:sz w:val="21"/>
                <w:szCs w:val="21"/>
              </w:rPr>
            </w:pPr>
          </w:p>
        </w:tc>
        <w:tc>
          <w:tcPr>
            <w:tcW w:w="521" w:type="dxa"/>
            <w:vAlign w:val="center"/>
          </w:tcPr>
          <w:p w14:paraId="1F3C9FD0">
            <w:pPr>
              <w:spacing w:line="400" w:lineRule="exact"/>
              <w:ind w:firstLine="0" w:firstLineChars="0"/>
              <w:jc w:val="center"/>
              <w:rPr>
                <w:rFonts w:eastAsiaTheme="minorEastAsia"/>
                <w:sz w:val="21"/>
                <w:szCs w:val="21"/>
              </w:rPr>
            </w:pPr>
            <w:r>
              <w:rPr>
                <w:rFonts w:eastAsiaTheme="minorEastAsia"/>
                <w:sz w:val="21"/>
                <w:szCs w:val="21"/>
              </w:rPr>
              <w:t>19</w:t>
            </w:r>
          </w:p>
        </w:tc>
        <w:tc>
          <w:tcPr>
            <w:tcW w:w="3107" w:type="dxa"/>
            <w:gridSpan w:val="2"/>
            <w:vAlign w:val="center"/>
          </w:tcPr>
          <w:p w14:paraId="609707F2">
            <w:pPr>
              <w:spacing w:line="400" w:lineRule="exact"/>
              <w:ind w:firstLine="0" w:firstLineChars="0"/>
              <w:jc w:val="center"/>
              <w:rPr>
                <w:rFonts w:eastAsiaTheme="minorEastAsia"/>
                <w:sz w:val="21"/>
                <w:szCs w:val="21"/>
              </w:rPr>
            </w:pPr>
            <w:r>
              <w:rPr>
                <w:rFonts w:eastAsiaTheme="minorEastAsia"/>
                <w:sz w:val="21"/>
                <w:szCs w:val="21"/>
              </w:rPr>
              <w:t>医疗废物无害化处理率</w:t>
            </w:r>
          </w:p>
        </w:tc>
        <w:tc>
          <w:tcPr>
            <w:tcW w:w="760" w:type="dxa"/>
            <w:vAlign w:val="center"/>
          </w:tcPr>
          <w:p w14:paraId="3BF01E87">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61CD0AA4">
            <w:pPr>
              <w:spacing w:line="400" w:lineRule="exact"/>
              <w:ind w:firstLine="0" w:firstLineChars="0"/>
              <w:jc w:val="center"/>
              <w:rPr>
                <w:rFonts w:eastAsiaTheme="minorEastAsia"/>
                <w:sz w:val="21"/>
                <w:szCs w:val="21"/>
              </w:rPr>
            </w:pPr>
            <w:r>
              <w:rPr>
                <w:rFonts w:eastAsiaTheme="minorEastAsia"/>
                <w:sz w:val="21"/>
                <w:szCs w:val="21"/>
              </w:rPr>
              <w:t>100</w:t>
            </w:r>
          </w:p>
        </w:tc>
        <w:tc>
          <w:tcPr>
            <w:tcW w:w="1720" w:type="dxa"/>
            <w:vAlign w:val="center"/>
          </w:tcPr>
          <w:p w14:paraId="541A6EB2">
            <w:pPr>
              <w:spacing w:line="400" w:lineRule="exact"/>
              <w:ind w:firstLine="0" w:firstLineChars="0"/>
              <w:jc w:val="center"/>
              <w:rPr>
                <w:rFonts w:eastAsiaTheme="minorEastAsia"/>
                <w:sz w:val="21"/>
                <w:szCs w:val="21"/>
              </w:rPr>
            </w:pPr>
            <w:r>
              <w:rPr>
                <w:rFonts w:eastAsiaTheme="minorEastAsia"/>
                <w:sz w:val="21"/>
                <w:szCs w:val="21"/>
              </w:rPr>
              <w:t>100</w:t>
            </w:r>
          </w:p>
        </w:tc>
        <w:tc>
          <w:tcPr>
            <w:tcW w:w="1081" w:type="dxa"/>
            <w:vAlign w:val="center"/>
          </w:tcPr>
          <w:p w14:paraId="4328A8F6">
            <w:pPr>
              <w:spacing w:line="400" w:lineRule="exact"/>
              <w:ind w:firstLine="0" w:firstLineChars="0"/>
              <w:jc w:val="center"/>
              <w:rPr>
                <w:rFonts w:eastAsiaTheme="minorEastAsia"/>
                <w:sz w:val="21"/>
                <w:szCs w:val="21"/>
              </w:rPr>
            </w:pPr>
            <w:r>
              <w:rPr>
                <w:rFonts w:eastAsiaTheme="minorEastAsia"/>
                <w:sz w:val="21"/>
                <w:szCs w:val="21"/>
              </w:rPr>
              <w:t>约束性</w:t>
            </w:r>
          </w:p>
        </w:tc>
      </w:tr>
      <w:tr w14:paraId="06BA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67" w:type="dxa"/>
            <w:vMerge w:val="restart"/>
            <w:vAlign w:val="center"/>
          </w:tcPr>
          <w:p w14:paraId="5D0D818A">
            <w:pPr>
              <w:spacing w:line="288" w:lineRule="auto"/>
              <w:ind w:firstLine="0" w:firstLineChars="0"/>
              <w:jc w:val="center"/>
              <w:rPr>
                <w:rFonts w:eastAsiaTheme="minorEastAsia"/>
                <w:sz w:val="21"/>
                <w:szCs w:val="21"/>
              </w:rPr>
            </w:pPr>
            <w:r>
              <w:rPr>
                <w:rFonts w:eastAsiaTheme="minorEastAsia"/>
                <w:sz w:val="21"/>
                <w:szCs w:val="21"/>
              </w:rPr>
              <w:t>生态空间</w:t>
            </w:r>
          </w:p>
        </w:tc>
        <w:tc>
          <w:tcPr>
            <w:tcW w:w="521" w:type="dxa"/>
            <w:vAlign w:val="center"/>
          </w:tcPr>
          <w:p w14:paraId="79C5D010">
            <w:pPr>
              <w:spacing w:line="400" w:lineRule="exact"/>
              <w:ind w:firstLine="0" w:firstLineChars="0"/>
              <w:jc w:val="center"/>
              <w:rPr>
                <w:rFonts w:eastAsiaTheme="minorEastAsia"/>
                <w:sz w:val="21"/>
                <w:szCs w:val="21"/>
              </w:rPr>
            </w:pPr>
            <w:r>
              <w:rPr>
                <w:rFonts w:eastAsiaTheme="minorEastAsia"/>
                <w:sz w:val="21"/>
                <w:szCs w:val="21"/>
              </w:rPr>
              <w:t>20</w:t>
            </w:r>
          </w:p>
        </w:tc>
        <w:tc>
          <w:tcPr>
            <w:tcW w:w="3107" w:type="dxa"/>
            <w:gridSpan w:val="2"/>
            <w:vAlign w:val="center"/>
          </w:tcPr>
          <w:p w14:paraId="2FCE19DD">
            <w:pPr>
              <w:spacing w:line="400" w:lineRule="exact"/>
              <w:ind w:firstLine="0" w:firstLineChars="0"/>
              <w:jc w:val="center"/>
              <w:rPr>
                <w:rFonts w:eastAsiaTheme="minorEastAsia"/>
                <w:sz w:val="21"/>
                <w:szCs w:val="21"/>
              </w:rPr>
            </w:pPr>
            <w:r>
              <w:rPr>
                <w:rFonts w:eastAsiaTheme="minorEastAsia"/>
                <w:sz w:val="21"/>
                <w:szCs w:val="21"/>
              </w:rPr>
              <w:t>生态质量指数（E</w:t>
            </w:r>
            <w:r>
              <w:rPr>
                <w:rFonts w:hint="eastAsia" w:eastAsiaTheme="minorEastAsia"/>
                <w:sz w:val="21"/>
                <w:szCs w:val="21"/>
              </w:rPr>
              <w:t>Q</w:t>
            </w:r>
            <w:r>
              <w:rPr>
                <w:rFonts w:eastAsiaTheme="minorEastAsia"/>
                <w:sz w:val="21"/>
                <w:szCs w:val="21"/>
              </w:rPr>
              <w:t>I）</w:t>
            </w:r>
          </w:p>
        </w:tc>
        <w:tc>
          <w:tcPr>
            <w:tcW w:w="760" w:type="dxa"/>
            <w:vAlign w:val="center"/>
          </w:tcPr>
          <w:p w14:paraId="2E2568AA">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7896A8B9">
            <w:pPr>
              <w:spacing w:line="400" w:lineRule="exact"/>
              <w:ind w:firstLine="0" w:firstLineChars="0"/>
              <w:jc w:val="center"/>
              <w:rPr>
                <w:rFonts w:eastAsiaTheme="minorEastAsia"/>
                <w:sz w:val="21"/>
                <w:szCs w:val="21"/>
              </w:rPr>
            </w:pPr>
            <w:r>
              <w:rPr>
                <w:rFonts w:eastAsiaTheme="minorEastAsia"/>
                <w:sz w:val="21"/>
                <w:szCs w:val="21"/>
              </w:rPr>
              <w:t>--</w:t>
            </w:r>
          </w:p>
        </w:tc>
        <w:tc>
          <w:tcPr>
            <w:tcW w:w="1720" w:type="dxa"/>
            <w:vAlign w:val="center"/>
          </w:tcPr>
          <w:p w14:paraId="7F39A8A5">
            <w:pPr>
              <w:spacing w:line="400" w:lineRule="exact"/>
              <w:ind w:firstLine="0" w:firstLineChars="0"/>
              <w:jc w:val="center"/>
              <w:rPr>
                <w:rFonts w:eastAsiaTheme="minorEastAsia"/>
                <w:sz w:val="21"/>
                <w:szCs w:val="21"/>
              </w:rPr>
            </w:pPr>
            <w:r>
              <w:rPr>
                <w:rFonts w:eastAsiaTheme="minorEastAsia"/>
                <w:sz w:val="21"/>
                <w:szCs w:val="21"/>
              </w:rPr>
              <w:t>完成市下达指标</w:t>
            </w:r>
          </w:p>
        </w:tc>
        <w:tc>
          <w:tcPr>
            <w:tcW w:w="1081" w:type="dxa"/>
            <w:vAlign w:val="center"/>
          </w:tcPr>
          <w:p w14:paraId="1A5E4CE9">
            <w:pPr>
              <w:spacing w:line="400" w:lineRule="exact"/>
              <w:ind w:firstLine="0" w:firstLineChars="0"/>
              <w:jc w:val="center"/>
              <w:rPr>
                <w:rFonts w:eastAsiaTheme="minorEastAsia"/>
                <w:sz w:val="21"/>
                <w:szCs w:val="21"/>
              </w:rPr>
            </w:pPr>
            <w:r>
              <w:rPr>
                <w:rFonts w:eastAsiaTheme="minorEastAsia"/>
                <w:sz w:val="21"/>
                <w:szCs w:val="21"/>
              </w:rPr>
              <w:t>预期性</w:t>
            </w:r>
          </w:p>
        </w:tc>
      </w:tr>
      <w:tr w14:paraId="0D1C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67" w:type="dxa"/>
            <w:vMerge w:val="continue"/>
            <w:vAlign w:val="center"/>
          </w:tcPr>
          <w:p w14:paraId="03B7FE2F">
            <w:pPr>
              <w:spacing w:line="288" w:lineRule="auto"/>
              <w:ind w:firstLine="0" w:firstLineChars="0"/>
              <w:jc w:val="center"/>
              <w:rPr>
                <w:rFonts w:eastAsiaTheme="minorEastAsia"/>
                <w:sz w:val="21"/>
                <w:szCs w:val="21"/>
              </w:rPr>
            </w:pPr>
          </w:p>
        </w:tc>
        <w:tc>
          <w:tcPr>
            <w:tcW w:w="521" w:type="dxa"/>
            <w:vAlign w:val="center"/>
          </w:tcPr>
          <w:p w14:paraId="7B3255F7">
            <w:pPr>
              <w:spacing w:line="400" w:lineRule="exact"/>
              <w:ind w:firstLine="0" w:firstLineChars="0"/>
              <w:jc w:val="center"/>
              <w:rPr>
                <w:rFonts w:eastAsiaTheme="minorEastAsia"/>
                <w:sz w:val="21"/>
                <w:szCs w:val="21"/>
              </w:rPr>
            </w:pPr>
            <w:r>
              <w:rPr>
                <w:rFonts w:eastAsiaTheme="minorEastAsia"/>
                <w:sz w:val="21"/>
                <w:szCs w:val="21"/>
              </w:rPr>
              <w:t>21</w:t>
            </w:r>
          </w:p>
        </w:tc>
        <w:tc>
          <w:tcPr>
            <w:tcW w:w="3107" w:type="dxa"/>
            <w:gridSpan w:val="2"/>
            <w:vAlign w:val="center"/>
          </w:tcPr>
          <w:p w14:paraId="5BE5F101">
            <w:pPr>
              <w:spacing w:line="400" w:lineRule="exact"/>
              <w:ind w:firstLine="0" w:firstLineChars="0"/>
              <w:jc w:val="center"/>
              <w:rPr>
                <w:rFonts w:eastAsiaTheme="minorEastAsia"/>
                <w:sz w:val="21"/>
                <w:szCs w:val="21"/>
              </w:rPr>
            </w:pPr>
            <w:r>
              <w:rPr>
                <w:rFonts w:eastAsiaTheme="minorEastAsia"/>
                <w:sz w:val="21"/>
                <w:szCs w:val="21"/>
              </w:rPr>
              <w:t>森林覆盖率</w:t>
            </w:r>
          </w:p>
        </w:tc>
        <w:tc>
          <w:tcPr>
            <w:tcW w:w="760" w:type="dxa"/>
            <w:vAlign w:val="center"/>
          </w:tcPr>
          <w:p w14:paraId="076BB3D4">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126C7E81">
            <w:pPr>
              <w:spacing w:line="400" w:lineRule="exact"/>
              <w:ind w:firstLine="0" w:firstLineChars="0"/>
              <w:jc w:val="center"/>
              <w:rPr>
                <w:rFonts w:eastAsiaTheme="minorEastAsia"/>
                <w:sz w:val="21"/>
                <w:szCs w:val="21"/>
              </w:rPr>
            </w:pPr>
            <w:r>
              <w:rPr>
                <w:rFonts w:eastAsiaTheme="minorEastAsia"/>
                <w:sz w:val="21"/>
                <w:szCs w:val="21"/>
              </w:rPr>
              <w:t>61.53</w:t>
            </w:r>
          </w:p>
        </w:tc>
        <w:tc>
          <w:tcPr>
            <w:tcW w:w="1720" w:type="dxa"/>
            <w:vAlign w:val="center"/>
          </w:tcPr>
          <w:p w14:paraId="463ADD7F">
            <w:pPr>
              <w:spacing w:line="400" w:lineRule="exact"/>
              <w:ind w:firstLine="0" w:firstLineChars="0"/>
              <w:jc w:val="center"/>
              <w:rPr>
                <w:rFonts w:eastAsiaTheme="minorEastAsia"/>
                <w:sz w:val="21"/>
                <w:szCs w:val="21"/>
              </w:rPr>
            </w:pPr>
            <w:r>
              <w:rPr>
                <w:rFonts w:hint="eastAsia" w:eastAsiaTheme="minorEastAsia"/>
                <w:sz w:val="21"/>
                <w:szCs w:val="21"/>
              </w:rPr>
              <w:t>完成市下达指标</w:t>
            </w:r>
          </w:p>
        </w:tc>
        <w:tc>
          <w:tcPr>
            <w:tcW w:w="1081" w:type="dxa"/>
            <w:vAlign w:val="center"/>
          </w:tcPr>
          <w:p w14:paraId="33EEF207">
            <w:pPr>
              <w:spacing w:line="400" w:lineRule="exact"/>
              <w:ind w:firstLine="0" w:firstLineChars="0"/>
              <w:jc w:val="center"/>
              <w:rPr>
                <w:rFonts w:eastAsiaTheme="minorEastAsia"/>
                <w:sz w:val="21"/>
                <w:szCs w:val="21"/>
              </w:rPr>
            </w:pPr>
            <w:r>
              <w:rPr>
                <w:rFonts w:eastAsiaTheme="minorEastAsia"/>
                <w:sz w:val="21"/>
                <w:szCs w:val="21"/>
              </w:rPr>
              <w:t>约束性</w:t>
            </w:r>
          </w:p>
        </w:tc>
      </w:tr>
      <w:tr w14:paraId="3264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7" w:type="dxa"/>
            <w:vMerge w:val="continue"/>
            <w:vAlign w:val="center"/>
          </w:tcPr>
          <w:p w14:paraId="3636CED3">
            <w:pPr>
              <w:spacing w:line="288" w:lineRule="auto"/>
              <w:ind w:firstLine="0" w:firstLineChars="0"/>
              <w:jc w:val="center"/>
              <w:rPr>
                <w:rFonts w:eastAsiaTheme="minorEastAsia"/>
                <w:sz w:val="21"/>
                <w:szCs w:val="21"/>
              </w:rPr>
            </w:pPr>
          </w:p>
        </w:tc>
        <w:tc>
          <w:tcPr>
            <w:tcW w:w="521" w:type="dxa"/>
            <w:vAlign w:val="center"/>
          </w:tcPr>
          <w:p w14:paraId="7B2A9923">
            <w:pPr>
              <w:spacing w:line="300" w:lineRule="auto"/>
              <w:ind w:firstLine="0" w:firstLineChars="0"/>
              <w:jc w:val="center"/>
              <w:rPr>
                <w:rFonts w:eastAsiaTheme="minorEastAsia"/>
                <w:sz w:val="21"/>
                <w:szCs w:val="21"/>
              </w:rPr>
            </w:pPr>
            <w:r>
              <w:rPr>
                <w:rFonts w:eastAsiaTheme="minorEastAsia"/>
                <w:sz w:val="21"/>
                <w:szCs w:val="21"/>
              </w:rPr>
              <w:t>22</w:t>
            </w:r>
          </w:p>
        </w:tc>
        <w:tc>
          <w:tcPr>
            <w:tcW w:w="3107" w:type="dxa"/>
            <w:gridSpan w:val="2"/>
            <w:vAlign w:val="center"/>
          </w:tcPr>
          <w:p w14:paraId="4B7A7FFA">
            <w:pPr>
              <w:spacing w:line="400" w:lineRule="exact"/>
              <w:ind w:firstLine="0" w:firstLineChars="0"/>
              <w:jc w:val="center"/>
              <w:rPr>
                <w:rFonts w:eastAsiaTheme="minorEastAsia"/>
                <w:sz w:val="21"/>
                <w:szCs w:val="21"/>
              </w:rPr>
            </w:pPr>
            <w:r>
              <w:rPr>
                <w:rFonts w:eastAsiaTheme="minorEastAsia"/>
                <w:sz w:val="21"/>
                <w:szCs w:val="21"/>
              </w:rPr>
              <w:t>生态保护红线占国土面积比例</w:t>
            </w:r>
          </w:p>
        </w:tc>
        <w:tc>
          <w:tcPr>
            <w:tcW w:w="760" w:type="dxa"/>
            <w:vAlign w:val="center"/>
          </w:tcPr>
          <w:p w14:paraId="1E0B00D1">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2680D406">
            <w:pPr>
              <w:spacing w:line="400" w:lineRule="exact"/>
              <w:ind w:firstLine="0" w:firstLineChars="0"/>
              <w:jc w:val="center"/>
              <w:rPr>
                <w:rFonts w:eastAsiaTheme="minorEastAsia"/>
                <w:sz w:val="21"/>
                <w:szCs w:val="21"/>
              </w:rPr>
            </w:pPr>
            <w:r>
              <w:rPr>
                <w:rFonts w:hint="eastAsia" w:eastAsiaTheme="minorEastAsia"/>
                <w:sz w:val="21"/>
                <w:szCs w:val="21"/>
              </w:rPr>
              <w:t>20</w:t>
            </w:r>
          </w:p>
        </w:tc>
        <w:tc>
          <w:tcPr>
            <w:tcW w:w="1720" w:type="dxa"/>
            <w:vAlign w:val="center"/>
          </w:tcPr>
          <w:p w14:paraId="7D5062C2">
            <w:pPr>
              <w:spacing w:line="400" w:lineRule="exact"/>
              <w:ind w:firstLine="0" w:firstLineChars="0"/>
              <w:jc w:val="center"/>
              <w:rPr>
                <w:rFonts w:eastAsiaTheme="minorEastAsia"/>
                <w:sz w:val="21"/>
                <w:szCs w:val="21"/>
              </w:rPr>
            </w:pPr>
            <w:r>
              <w:rPr>
                <w:rFonts w:eastAsiaTheme="minorEastAsia"/>
                <w:sz w:val="21"/>
                <w:szCs w:val="21"/>
              </w:rPr>
              <w:t>确保不降低</w:t>
            </w:r>
          </w:p>
        </w:tc>
        <w:tc>
          <w:tcPr>
            <w:tcW w:w="1081" w:type="dxa"/>
            <w:vAlign w:val="center"/>
          </w:tcPr>
          <w:p w14:paraId="07FECE39">
            <w:pPr>
              <w:spacing w:line="400" w:lineRule="exact"/>
              <w:ind w:firstLine="0" w:firstLineChars="0"/>
              <w:jc w:val="center"/>
              <w:rPr>
                <w:rFonts w:eastAsiaTheme="minorEastAsia"/>
                <w:sz w:val="21"/>
                <w:szCs w:val="21"/>
              </w:rPr>
            </w:pPr>
            <w:r>
              <w:rPr>
                <w:rFonts w:eastAsiaTheme="minorEastAsia"/>
                <w:sz w:val="21"/>
                <w:szCs w:val="21"/>
              </w:rPr>
              <w:t>约束性</w:t>
            </w:r>
          </w:p>
        </w:tc>
      </w:tr>
      <w:tr w14:paraId="0665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7" w:type="dxa"/>
            <w:vMerge w:val="continue"/>
            <w:vAlign w:val="center"/>
          </w:tcPr>
          <w:p w14:paraId="0CACB635">
            <w:pPr>
              <w:spacing w:line="288" w:lineRule="auto"/>
              <w:ind w:firstLine="0" w:firstLineChars="0"/>
              <w:jc w:val="center"/>
              <w:rPr>
                <w:rFonts w:eastAsiaTheme="minorEastAsia"/>
                <w:sz w:val="21"/>
                <w:szCs w:val="21"/>
              </w:rPr>
            </w:pPr>
          </w:p>
        </w:tc>
        <w:tc>
          <w:tcPr>
            <w:tcW w:w="521" w:type="dxa"/>
            <w:vAlign w:val="center"/>
          </w:tcPr>
          <w:p w14:paraId="2B61E061">
            <w:pPr>
              <w:spacing w:line="300" w:lineRule="auto"/>
              <w:ind w:firstLine="0" w:firstLineChars="0"/>
              <w:jc w:val="center"/>
              <w:rPr>
                <w:rFonts w:eastAsiaTheme="minorEastAsia"/>
                <w:sz w:val="21"/>
                <w:szCs w:val="21"/>
              </w:rPr>
            </w:pPr>
            <w:r>
              <w:rPr>
                <w:rFonts w:eastAsiaTheme="minorEastAsia"/>
                <w:sz w:val="21"/>
                <w:szCs w:val="21"/>
              </w:rPr>
              <w:t>23</w:t>
            </w:r>
          </w:p>
        </w:tc>
        <w:tc>
          <w:tcPr>
            <w:tcW w:w="3107" w:type="dxa"/>
            <w:gridSpan w:val="2"/>
            <w:vAlign w:val="center"/>
          </w:tcPr>
          <w:p w14:paraId="13AC7A15">
            <w:pPr>
              <w:spacing w:line="400" w:lineRule="exact"/>
              <w:ind w:firstLine="0" w:firstLineChars="0"/>
              <w:jc w:val="center"/>
              <w:rPr>
                <w:rFonts w:eastAsiaTheme="minorEastAsia"/>
                <w:sz w:val="21"/>
                <w:szCs w:val="21"/>
              </w:rPr>
            </w:pPr>
            <w:r>
              <w:rPr>
                <w:rFonts w:eastAsiaTheme="minorEastAsia"/>
                <w:sz w:val="21"/>
                <w:szCs w:val="21"/>
              </w:rPr>
              <w:t>建成区绿化覆盖率</w:t>
            </w:r>
          </w:p>
        </w:tc>
        <w:tc>
          <w:tcPr>
            <w:tcW w:w="760" w:type="dxa"/>
            <w:vAlign w:val="center"/>
          </w:tcPr>
          <w:p w14:paraId="40998C96">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7FBE0338">
            <w:pPr>
              <w:spacing w:line="400" w:lineRule="exact"/>
              <w:ind w:firstLine="0" w:firstLineChars="0"/>
              <w:jc w:val="center"/>
              <w:rPr>
                <w:rFonts w:eastAsiaTheme="minorEastAsia"/>
                <w:sz w:val="21"/>
                <w:szCs w:val="21"/>
              </w:rPr>
            </w:pPr>
            <w:r>
              <w:rPr>
                <w:rFonts w:eastAsiaTheme="minorEastAsia"/>
                <w:sz w:val="21"/>
                <w:szCs w:val="21"/>
              </w:rPr>
              <w:t>40.8</w:t>
            </w:r>
          </w:p>
        </w:tc>
        <w:tc>
          <w:tcPr>
            <w:tcW w:w="1720" w:type="dxa"/>
            <w:vAlign w:val="center"/>
          </w:tcPr>
          <w:p w14:paraId="43791681">
            <w:pPr>
              <w:spacing w:line="400" w:lineRule="exact"/>
              <w:ind w:firstLine="0" w:firstLineChars="0"/>
              <w:jc w:val="center"/>
              <w:rPr>
                <w:rFonts w:eastAsiaTheme="minorEastAsia"/>
                <w:sz w:val="21"/>
                <w:szCs w:val="21"/>
              </w:rPr>
            </w:pPr>
            <w:r>
              <w:rPr>
                <w:rFonts w:hint="eastAsia" w:eastAsiaTheme="minorEastAsia"/>
                <w:sz w:val="21"/>
                <w:szCs w:val="21"/>
              </w:rPr>
              <w:t>完成市下达指标</w:t>
            </w:r>
          </w:p>
        </w:tc>
        <w:tc>
          <w:tcPr>
            <w:tcW w:w="1081" w:type="dxa"/>
            <w:vAlign w:val="center"/>
          </w:tcPr>
          <w:p w14:paraId="1D04A026">
            <w:pPr>
              <w:spacing w:line="400" w:lineRule="exact"/>
              <w:ind w:firstLine="0" w:firstLineChars="0"/>
              <w:jc w:val="center"/>
              <w:rPr>
                <w:rFonts w:eastAsiaTheme="minorEastAsia"/>
                <w:sz w:val="21"/>
                <w:szCs w:val="21"/>
              </w:rPr>
            </w:pPr>
            <w:r>
              <w:rPr>
                <w:rFonts w:eastAsiaTheme="minorEastAsia"/>
                <w:sz w:val="21"/>
                <w:szCs w:val="21"/>
              </w:rPr>
              <w:t>约束性</w:t>
            </w:r>
          </w:p>
        </w:tc>
      </w:tr>
      <w:tr w14:paraId="2C6B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67" w:type="dxa"/>
            <w:vMerge w:val="continue"/>
            <w:vAlign w:val="center"/>
          </w:tcPr>
          <w:p w14:paraId="552AC74A">
            <w:pPr>
              <w:spacing w:line="288" w:lineRule="auto"/>
              <w:ind w:firstLine="0" w:firstLineChars="0"/>
              <w:jc w:val="center"/>
              <w:rPr>
                <w:rFonts w:eastAsiaTheme="minorEastAsia"/>
                <w:sz w:val="21"/>
                <w:szCs w:val="21"/>
              </w:rPr>
            </w:pPr>
          </w:p>
        </w:tc>
        <w:tc>
          <w:tcPr>
            <w:tcW w:w="521" w:type="dxa"/>
            <w:vAlign w:val="center"/>
          </w:tcPr>
          <w:p w14:paraId="2DBD7EB7">
            <w:pPr>
              <w:spacing w:line="300" w:lineRule="auto"/>
              <w:ind w:firstLine="0" w:firstLineChars="0"/>
              <w:jc w:val="center"/>
              <w:rPr>
                <w:rFonts w:eastAsiaTheme="minorEastAsia"/>
                <w:sz w:val="21"/>
                <w:szCs w:val="21"/>
              </w:rPr>
            </w:pPr>
            <w:r>
              <w:rPr>
                <w:rFonts w:eastAsiaTheme="minorEastAsia"/>
                <w:sz w:val="21"/>
                <w:szCs w:val="21"/>
              </w:rPr>
              <w:t>24</w:t>
            </w:r>
          </w:p>
        </w:tc>
        <w:tc>
          <w:tcPr>
            <w:tcW w:w="3107" w:type="dxa"/>
            <w:gridSpan w:val="2"/>
            <w:vAlign w:val="center"/>
          </w:tcPr>
          <w:p w14:paraId="08DA2940">
            <w:pPr>
              <w:spacing w:line="240" w:lineRule="auto"/>
              <w:ind w:firstLine="0" w:firstLineChars="0"/>
              <w:jc w:val="center"/>
              <w:rPr>
                <w:rFonts w:eastAsiaTheme="minorEastAsia"/>
                <w:sz w:val="21"/>
                <w:szCs w:val="21"/>
              </w:rPr>
            </w:pPr>
            <w:r>
              <w:rPr>
                <w:rFonts w:eastAsiaTheme="minorEastAsia"/>
                <w:sz w:val="21"/>
                <w:szCs w:val="21"/>
              </w:rPr>
              <w:t>重现土著鱼类或水生植物的健康水体数量</w:t>
            </w:r>
          </w:p>
        </w:tc>
        <w:tc>
          <w:tcPr>
            <w:tcW w:w="760" w:type="dxa"/>
            <w:vAlign w:val="center"/>
          </w:tcPr>
          <w:p w14:paraId="5886D1BF">
            <w:pPr>
              <w:spacing w:line="400" w:lineRule="exact"/>
              <w:ind w:firstLine="0" w:firstLineChars="0"/>
              <w:jc w:val="center"/>
              <w:rPr>
                <w:rFonts w:eastAsiaTheme="minorEastAsia"/>
                <w:sz w:val="21"/>
                <w:szCs w:val="21"/>
              </w:rPr>
            </w:pPr>
            <w:r>
              <w:rPr>
                <w:rFonts w:eastAsiaTheme="minorEastAsia"/>
                <w:sz w:val="21"/>
                <w:szCs w:val="21"/>
              </w:rPr>
              <w:t>--</w:t>
            </w:r>
          </w:p>
        </w:tc>
        <w:tc>
          <w:tcPr>
            <w:tcW w:w="1256" w:type="dxa"/>
            <w:vAlign w:val="center"/>
          </w:tcPr>
          <w:p w14:paraId="172FB33C">
            <w:pPr>
              <w:spacing w:line="400" w:lineRule="exact"/>
              <w:ind w:firstLine="0" w:firstLineChars="0"/>
              <w:jc w:val="center"/>
              <w:rPr>
                <w:rFonts w:eastAsiaTheme="minorEastAsia"/>
                <w:sz w:val="21"/>
                <w:szCs w:val="21"/>
              </w:rPr>
            </w:pPr>
            <w:r>
              <w:rPr>
                <w:rFonts w:eastAsiaTheme="minorEastAsia"/>
                <w:sz w:val="21"/>
                <w:szCs w:val="21"/>
              </w:rPr>
              <w:t>--</w:t>
            </w:r>
          </w:p>
        </w:tc>
        <w:tc>
          <w:tcPr>
            <w:tcW w:w="1720" w:type="dxa"/>
            <w:vAlign w:val="center"/>
          </w:tcPr>
          <w:p w14:paraId="116214E0">
            <w:pPr>
              <w:spacing w:line="400" w:lineRule="exact"/>
              <w:ind w:firstLine="0" w:firstLineChars="0"/>
              <w:jc w:val="center"/>
              <w:rPr>
                <w:rFonts w:eastAsiaTheme="minorEastAsia"/>
                <w:sz w:val="21"/>
                <w:szCs w:val="21"/>
              </w:rPr>
            </w:pPr>
            <w:r>
              <w:rPr>
                <w:rFonts w:eastAsiaTheme="minorEastAsia"/>
                <w:sz w:val="21"/>
                <w:szCs w:val="21"/>
              </w:rPr>
              <w:t>逐步增加</w:t>
            </w:r>
          </w:p>
        </w:tc>
        <w:tc>
          <w:tcPr>
            <w:tcW w:w="1081" w:type="dxa"/>
            <w:vAlign w:val="center"/>
          </w:tcPr>
          <w:p w14:paraId="39847CFD">
            <w:pPr>
              <w:spacing w:line="400" w:lineRule="exact"/>
              <w:ind w:firstLine="0" w:firstLineChars="0"/>
              <w:jc w:val="center"/>
              <w:rPr>
                <w:rFonts w:eastAsiaTheme="minorEastAsia"/>
                <w:sz w:val="21"/>
                <w:szCs w:val="21"/>
              </w:rPr>
            </w:pPr>
            <w:r>
              <w:rPr>
                <w:rFonts w:eastAsiaTheme="minorEastAsia"/>
                <w:sz w:val="21"/>
                <w:szCs w:val="21"/>
              </w:rPr>
              <w:t>引领性</w:t>
            </w:r>
          </w:p>
        </w:tc>
      </w:tr>
    </w:tbl>
    <w:p w14:paraId="1C18C790">
      <w:pPr>
        <w:spacing w:before="156" w:beforeLines="50" w:line="360" w:lineRule="auto"/>
        <w:ind w:left="850" w:leftChars="44" w:hanging="709" w:hangingChars="338"/>
        <w:jc w:val="left"/>
        <w:rPr>
          <w:rFonts w:eastAsiaTheme="minorEastAsia"/>
          <w:sz w:val="21"/>
          <w:szCs w:val="21"/>
        </w:rPr>
      </w:pPr>
      <w:r>
        <w:rPr>
          <w:rFonts w:eastAsiaTheme="minorEastAsia"/>
          <w:sz w:val="21"/>
          <w:szCs w:val="21"/>
        </w:rPr>
        <w:t>注：1. 受新冠肺炎疫情等影响，2020年城市空气质量优良天数比例、城市细颗粒物年均浓度、地表水质量好于III类水体比例等指标明显优于往常年份。</w:t>
      </w:r>
    </w:p>
    <w:p w14:paraId="09732A6E">
      <w:pPr>
        <w:spacing w:line="360" w:lineRule="auto"/>
        <w:ind w:firstLine="630" w:firstLineChars="300"/>
        <w:jc w:val="left"/>
        <w:rPr>
          <w:sz w:val="24"/>
          <w:szCs w:val="24"/>
        </w:rPr>
      </w:pPr>
      <w:r>
        <w:rPr>
          <w:rFonts w:eastAsiaTheme="minorEastAsia"/>
          <w:sz w:val="21"/>
          <w:szCs w:val="21"/>
        </w:rPr>
        <w:t>2. 生态保护红线比例现状值以国家批复的红线比例为准。</w:t>
      </w:r>
    </w:p>
    <w:p w14:paraId="380E848C">
      <w:pPr>
        <w:spacing w:line="360" w:lineRule="auto"/>
        <w:ind w:left="425" w:firstLine="480"/>
        <w:rPr>
          <w:sz w:val="24"/>
          <w:szCs w:val="24"/>
        </w:rPr>
        <w:sectPr>
          <w:pgSz w:w="11906" w:h="16838"/>
          <w:pgMar w:top="1418" w:right="1247" w:bottom="1134" w:left="1247" w:header="851" w:footer="992" w:gutter="0"/>
          <w:cols w:space="425" w:num="1"/>
          <w:docGrid w:type="lines" w:linePitch="312" w:charSpace="0"/>
        </w:sectPr>
      </w:pPr>
    </w:p>
    <w:p w14:paraId="19BBD3BE">
      <w:pPr>
        <w:pStyle w:val="6"/>
        <w:spacing w:before="600" w:after="600" w:line="360" w:lineRule="auto"/>
        <w:ind w:firstLine="0" w:firstLineChars="0"/>
        <w:jc w:val="center"/>
        <w:rPr>
          <w:rFonts w:ascii="黑体" w:hAnsi="黑体" w:eastAsia="黑体"/>
          <w:sz w:val="48"/>
          <w:szCs w:val="48"/>
        </w:rPr>
      </w:pPr>
      <w:bookmarkStart w:id="42" w:name="_Toc103937005"/>
      <w:bookmarkStart w:id="43" w:name="_Toc103937263"/>
      <w:r>
        <w:rPr>
          <w:rFonts w:hint="eastAsia" w:ascii="黑体" w:hAnsi="黑体" w:eastAsia="黑体"/>
          <w:sz w:val="48"/>
          <w:szCs w:val="48"/>
        </w:rPr>
        <w:t xml:space="preserve">第三章 </w:t>
      </w:r>
      <w:r>
        <w:rPr>
          <w:rFonts w:ascii="黑体" w:hAnsi="黑体" w:eastAsia="黑体"/>
          <w:sz w:val="48"/>
          <w:szCs w:val="48"/>
        </w:rPr>
        <w:t>重点领域与主要任务</w:t>
      </w:r>
      <w:bookmarkEnd w:id="42"/>
      <w:bookmarkEnd w:id="43"/>
    </w:p>
    <w:p w14:paraId="04EABFBB">
      <w:pPr>
        <w:pStyle w:val="7"/>
        <w:spacing w:line="600" w:lineRule="exact"/>
        <w:ind w:firstLine="0" w:firstLineChars="0"/>
        <w:rPr>
          <w:rFonts w:ascii="黑体" w:hAnsi="黑体" w:eastAsia="黑体" w:cs="Times New Roman"/>
          <w:bCs w:val="0"/>
          <w:sz w:val="40"/>
          <w:szCs w:val="40"/>
        </w:rPr>
      </w:pPr>
      <w:bookmarkStart w:id="44" w:name="_Toc72246623"/>
      <w:bookmarkStart w:id="45" w:name="_Toc61785949"/>
      <w:bookmarkStart w:id="46" w:name="_Toc72148486"/>
      <w:bookmarkStart w:id="47" w:name="_Toc103937264"/>
      <w:bookmarkStart w:id="48" w:name="_Toc103937006"/>
      <w:r>
        <w:rPr>
          <w:rFonts w:ascii="黑体" w:hAnsi="黑体" w:eastAsia="黑体" w:cs="Times New Roman"/>
          <w:bCs w:val="0"/>
          <w:sz w:val="40"/>
          <w:szCs w:val="40"/>
        </w:rPr>
        <w:t>（一）</w:t>
      </w:r>
      <w:r>
        <w:rPr>
          <w:rFonts w:hint="eastAsia" w:ascii="黑体" w:hAnsi="黑体" w:eastAsia="黑体" w:cs="Times New Roman"/>
          <w:bCs w:val="0"/>
          <w:sz w:val="40"/>
          <w:szCs w:val="40"/>
        </w:rPr>
        <w:t>优化产业结构</w:t>
      </w:r>
      <w:r>
        <w:rPr>
          <w:rFonts w:ascii="黑体" w:hAnsi="黑体" w:eastAsia="黑体" w:cs="Times New Roman"/>
          <w:bCs w:val="0"/>
          <w:sz w:val="40"/>
          <w:szCs w:val="40"/>
        </w:rPr>
        <w:t>，</w:t>
      </w:r>
      <w:r>
        <w:rPr>
          <w:rFonts w:hint="eastAsia" w:ascii="黑体" w:hAnsi="黑体" w:eastAsia="黑体" w:cs="Times New Roman"/>
          <w:bCs w:val="0"/>
          <w:sz w:val="40"/>
          <w:szCs w:val="40"/>
        </w:rPr>
        <w:t>构建绿色</w:t>
      </w:r>
      <w:bookmarkEnd w:id="44"/>
      <w:bookmarkEnd w:id="45"/>
      <w:bookmarkEnd w:id="46"/>
      <w:r>
        <w:rPr>
          <w:rFonts w:hint="eastAsia" w:ascii="黑体" w:hAnsi="黑体" w:eastAsia="黑体" w:cs="Times New Roman"/>
          <w:bCs w:val="0"/>
          <w:sz w:val="40"/>
          <w:szCs w:val="40"/>
        </w:rPr>
        <w:t>循环低碳经济</w:t>
      </w:r>
      <w:bookmarkEnd w:id="47"/>
      <w:bookmarkEnd w:id="48"/>
    </w:p>
    <w:p w14:paraId="616D7EFB">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1.优化产业空间布局</w:t>
      </w:r>
    </w:p>
    <w:p w14:paraId="3AD2614F">
      <w:pPr>
        <w:spacing w:line="600" w:lineRule="exact"/>
        <w:ind w:firstLine="640"/>
        <w:rPr>
          <w:szCs w:val="30"/>
        </w:rPr>
      </w:pPr>
      <w:r>
        <w:rPr>
          <w:rFonts w:hint="eastAsia"/>
          <w:szCs w:val="30"/>
        </w:rPr>
        <w:t>严格落实“三线一单”，结合“三区三线”，加强“三线一单”在环境准入、园区管理、执法监管等方面的应用。不断健全环境影响评价等生态环境源头预防体系，以战略和规划环评为引领</w:t>
      </w:r>
      <w:r>
        <w:rPr>
          <w:rFonts w:ascii="华文仿宋" w:hAnsi="华文仿宋" w:eastAsia="华文仿宋" w:cs="华文仿宋"/>
          <w:kern w:val="0"/>
          <w:szCs w:val="30"/>
        </w:rPr>
        <w:t>，</w:t>
      </w:r>
      <w:r>
        <w:rPr>
          <w:rFonts w:hint="eastAsia"/>
          <w:szCs w:val="30"/>
        </w:rPr>
        <w:t>对重</w:t>
      </w:r>
      <w:r>
        <w:rPr>
          <w:szCs w:val="30"/>
        </w:rPr>
        <w:t>点区域、重点流域、重点行业和产业布局等相关规划开展规划环评，以区域限批、生态环境准入清单为手段，促进企业绿色转型</w:t>
      </w:r>
      <w:r>
        <w:rPr>
          <w:rFonts w:hint="eastAsia"/>
          <w:szCs w:val="30"/>
        </w:rPr>
        <w:t>，推动企业数字化、智能化、绿色化改造</w:t>
      </w:r>
      <w:r>
        <w:rPr>
          <w:szCs w:val="30"/>
        </w:rPr>
        <w:t>。</w:t>
      </w:r>
      <w:r>
        <w:rPr>
          <w:rFonts w:hint="eastAsia"/>
          <w:szCs w:val="30"/>
        </w:rPr>
        <w:t>依托福州大学城、福州市青口汽车工业园区、闽侯经济技术开发区等载体，引导项目、资金、技术、人才等生产要素向重点功能区和产业园集聚，带动重点产业发展，壮大产业集群规模。</w:t>
      </w:r>
    </w:p>
    <w:p w14:paraId="18416EBB">
      <w:pPr>
        <w:spacing w:line="600" w:lineRule="exact"/>
        <w:ind w:firstLine="643"/>
      </w:pPr>
      <w:r>
        <w:rPr>
          <w:rFonts w:hint="eastAsia"/>
          <w:b/>
          <w:bCs/>
          <w:szCs w:val="30"/>
        </w:rPr>
        <w:t>一一</w:t>
      </w:r>
      <w:bookmarkStart w:id="49" w:name="_Hlk102864509"/>
      <w:r>
        <w:rPr>
          <w:rFonts w:hint="eastAsia"/>
          <w:b/>
          <w:bCs/>
          <w:szCs w:val="30"/>
        </w:rPr>
        <w:t>发挥福州大学城优势，打造“东南科教名城”</w:t>
      </w:r>
      <w:bookmarkEnd w:id="49"/>
      <w:r>
        <w:rPr>
          <w:rFonts w:hint="eastAsia"/>
          <w:b/>
          <w:bCs/>
          <w:szCs w:val="30"/>
        </w:rPr>
        <w:t>。</w:t>
      </w:r>
      <w:r>
        <w:rPr>
          <w:rFonts w:hint="eastAsia"/>
          <w:szCs w:val="30"/>
        </w:rPr>
        <w:t>坚持“创新强县”策略，以建设中国东南（福建）科学城为契机，发挥大学城、高新区驻地优势，深化合作共建，集聚创新要素，建好新兴科创走廊。以大学城为中心，推进“</w:t>
      </w:r>
      <w:bookmarkStart w:id="50" w:name="_Hlk102221743"/>
      <w:r>
        <w:rPr>
          <w:rFonts w:hint="eastAsia"/>
          <w:szCs w:val="30"/>
        </w:rPr>
        <w:t>一江一湖一小镇一大街</w:t>
      </w:r>
      <w:bookmarkEnd w:id="50"/>
      <w:r>
        <w:rPr>
          <w:rFonts w:hint="eastAsia"/>
          <w:szCs w:val="30"/>
        </w:rPr>
        <w:t>”建设，整合软件园闽侯分园等科创载体，实施闽都创新实验室等项目，建成海盛磐基科学城，形成“一片多点”科创走廊发展格局。强化企业创新主体地位,培育“专精特新”企业，新增高新技术企业</w:t>
      </w:r>
      <w:r>
        <w:rPr>
          <w:rFonts w:hint="eastAsia" w:ascii="仿宋_GB2312" w:hAnsi="仿宋_GB2312" w:cs="仿宋_GB2312"/>
          <w:szCs w:val="30"/>
        </w:rPr>
        <w:t>若干</w:t>
      </w:r>
      <w:r>
        <w:rPr>
          <w:rFonts w:hint="eastAsia"/>
          <w:szCs w:val="30"/>
        </w:rPr>
        <w:t>家。设立科创基金，引进科创企业总部，新增“三创”载体</w:t>
      </w:r>
      <w:r>
        <w:rPr>
          <w:rFonts w:hint="eastAsia" w:ascii="仿宋_GB2312" w:hAnsi="仿宋_GB2312" w:cs="仿宋_GB2312"/>
          <w:szCs w:val="30"/>
        </w:rPr>
        <w:t>和</w:t>
      </w:r>
      <w:r>
        <w:rPr>
          <w:rFonts w:hint="eastAsia"/>
          <w:szCs w:val="30"/>
        </w:rPr>
        <w:t>研发公共服务平台。致办打造形成校地联动、融合发展、创新共享的“三创”样板区。实施人才引领发展战略，大力引进高层次人才。全力支持高新区做大做强海西园、生物医药和机电产业园，攻坚推进福耀科技大学等项目，力促高新区综合实力排名挺进全国第一方阵。推出更多贴近大学生、年轻人的创新举措，吸引创新人才、优化创新环境，将闽侯打造成为青春洋溢、创新活跃、人才汇聚、总部云集的科教名城。</w:t>
      </w:r>
    </w:p>
    <w:p w14:paraId="3AB9E1BD">
      <w:pPr>
        <w:spacing w:line="600" w:lineRule="exact"/>
        <w:ind w:firstLine="643"/>
        <w:rPr>
          <w:szCs w:val="30"/>
        </w:rPr>
      </w:pPr>
      <w:r>
        <w:rPr>
          <w:rFonts w:hint="eastAsia"/>
          <w:b/>
          <w:bCs/>
          <w:szCs w:val="30"/>
        </w:rPr>
        <w:t>——</w:t>
      </w:r>
      <w:bookmarkStart w:id="51" w:name="_Hlk102864561"/>
      <w:r>
        <w:rPr>
          <w:rFonts w:hint="eastAsia"/>
          <w:b/>
          <w:bCs/>
          <w:szCs w:val="30"/>
        </w:rPr>
        <w:t>发挥东南汽车城优势，打造“八闽产业强城”</w:t>
      </w:r>
      <w:bookmarkEnd w:id="51"/>
      <w:r>
        <w:rPr>
          <w:rFonts w:hint="eastAsia"/>
          <w:b/>
          <w:bCs/>
          <w:szCs w:val="30"/>
        </w:rPr>
        <w:t>。</w:t>
      </w:r>
      <w:r>
        <w:rPr>
          <w:rFonts w:hint="eastAsia"/>
          <w:szCs w:val="30"/>
        </w:rPr>
        <w:t>坚持“实业为本”原则，支持青口汽车工业园区做大做强，加快建设具有区域辐射力、全国竞争力的“汽车之城”，力促县域经济实力排名进入全国</w:t>
      </w:r>
      <w:r>
        <w:rPr>
          <w:rFonts w:ascii="仿宋_GB2312" w:hAnsi="仿宋_GB2312" w:cs="仿宋_GB2312"/>
          <w:szCs w:val="30"/>
        </w:rPr>
        <w:t>30</w:t>
      </w:r>
      <w:r>
        <w:rPr>
          <w:rFonts w:hint="eastAsia"/>
          <w:szCs w:val="30"/>
        </w:rPr>
        <w:t>强。做好汽车、机电等工业六大产业延链补链强链文章，实施现代服务业倍增计划，做优做活城郊经济，建立形成一二三产结构优化、融合发展的现代产业体系。按照“一区多园”模式，以青口汽车工业园区为核心，提升东台、兰圃产业园，整合闽侯经济技术开发区及白沙园、竹岐园和鸿尾高端建材产业园，加大低效用地清理处置力度，提升园区产业发展效益。推动东南汽车转型发展、奔驰汽车扩大产能，引进新能源整车，支持零部件企业增资扩产。推动企业数字化、智能化、绿色化改造。坚持“链长制”，做好延链补链强链工作，培优扶强龙头企业。支持中小微企业发展，促进部分企业规下转规上。</w:t>
      </w:r>
    </w:p>
    <w:p w14:paraId="54D3D4BB">
      <w:pPr>
        <w:pStyle w:val="2"/>
        <w:ind w:firstLine="643"/>
      </w:pPr>
      <w:r>
        <w:rPr>
          <w:rFonts w:hint="eastAsia" w:ascii="Times New Roman" w:hAnsi="Times New Roman" w:cs="Times New Roman"/>
          <w:b/>
          <w:bCs/>
          <w:szCs w:val="30"/>
        </w:rPr>
        <w:t>——发挥区位近主城优势，打造“省会宜居新城”。</w:t>
      </w:r>
      <w:r>
        <w:rPr>
          <w:rFonts w:hint="eastAsia"/>
        </w:rPr>
        <w:t>坚持“人民至上”理念，以建设全国县城新型城镇化建设示范县为抓手，城市更新与乡村振兴并进、完善配套与提升内涵并重，擦靓福州门户。推进生态文明建设,落实碳达峰、碳中和目标任务，创建省级全域生态旅游示范县。深化民生领域综合改革,力促县域公共服务水平比肩福州主城区,实现社会事业全面发展和民生保障全面进步,确保获评全国文明城市。全面融入强省会战略,增强就学就业、创业置业吸引力。</w:t>
      </w:r>
    </w:p>
    <w:p w14:paraId="18277562">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w:t>
      </w:r>
      <w:bookmarkStart w:id="52" w:name="_Hlk102864597"/>
      <w:r>
        <w:rPr>
          <w:rFonts w:hint="eastAsia" w:ascii="黑体" w:hAnsi="黑体" w:eastAsia="黑体"/>
          <w:sz w:val="36"/>
          <w:szCs w:val="36"/>
        </w:rPr>
        <w:t>全面发展绿色循环生态经济</w:t>
      </w:r>
      <w:bookmarkEnd w:id="52"/>
    </w:p>
    <w:p w14:paraId="775F1D9A">
      <w:pPr>
        <w:spacing w:line="600" w:lineRule="exact"/>
        <w:ind w:firstLine="640"/>
        <w:jc w:val="left"/>
        <w:rPr>
          <w:szCs w:val="30"/>
        </w:rPr>
      </w:pPr>
      <w:r>
        <w:rPr>
          <w:rFonts w:hint="eastAsia"/>
          <w:szCs w:val="30"/>
        </w:rPr>
        <w:t>深化“校地合作”，深入实施“傍大学、优产业”战略，依托福州市青口汽车工业园区、闽侯经济技术开发区进一步优化产业布局，大力发展生态工业、生态农业和现代服务业，全面节约和高效利用资源，产业结构不断向生态循环型转化，经济发展与资源、环境承载力相适应。单位地区生产总值能耗和单位地区生产总值用水量完成上级规定的目标任务，保持稳定或持续改善；单位国内生产总值建设用地使用面积下降率保持稳定达标；推动全县产业循环发展，提升一般工业废弃物处置利用率；农业废弃物综合利用率达到稳定水平。开展绿色技术创新企业创建行动，实施一批绿色技术创新研发项目，培育</w:t>
      </w:r>
      <w:r>
        <w:rPr>
          <w:szCs w:val="30"/>
        </w:rPr>
        <w:t>一批绿色技术创新企业、绿色企业技术中心，创建一批绿色技术创新示范企业。全面推进清洁生产，依法对</w:t>
      </w:r>
      <w:r>
        <w:rPr>
          <w:rFonts w:hint="eastAsia"/>
          <w:szCs w:val="30"/>
        </w:rPr>
        <w:t>“</w:t>
      </w:r>
      <w:bookmarkStart w:id="53" w:name="_Hlk102228259"/>
      <w:r>
        <w:rPr>
          <w:szCs w:val="30"/>
        </w:rPr>
        <w:t>双超双有高耗能</w:t>
      </w:r>
      <w:bookmarkEnd w:id="53"/>
      <w:r>
        <w:rPr>
          <w:rFonts w:hint="eastAsia"/>
          <w:szCs w:val="30"/>
        </w:rPr>
        <w:t>”</w:t>
      </w:r>
      <w:r>
        <w:rPr>
          <w:szCs w:val="30"/>
        </w:rPr>
        <w:t xml:space="preserve">行业实施强制性清洁生产审核。现有传统产业力争 </w:t>
      </w:r>
      <w:r>
        <w:rPr>
          <w:rFonts w:ascii="仿宋_GB2312" w:hAnsi="仿宋_GB2312" w:cs="仿宋_GB2312"/>
          <w:szCs w:val="30"/>
        </w:rPr>
        <w:t>3</w:t>
      </w:r>
      <w:r>
        <w:rPr>
          <w:rFonts w:hint="eastAsia" w:ascii="宋体" w:hAnsi="宋体" w:eastAsia="宋体"/>
          <w:szCs w:val="30"/>
        </w:rPr>
        <w:t>～</w:t>
      </w:r>
      <w:r>
        <w:rPr>
          <w:rFonts w:ascii="仿宋_GB2312" w:hAnsi="仿宋_GB2312" w:cs="仿宋_GB2312"/>
          <w:szCs w:val="30"/>
        </w:rPr>
        <w:t>5</w:t>
      </w:r>
      <w:r>
        <w:rPr>
          <w:szCs w:val="30"/>
        </w:rPr>
        <w:t xml:space="preserve"> 年达到国内清洁生产先进水平，符合行业规范条件要求新改建传统产业的项目，各项指标需执行国内清洁生产先进水平</w:t>
      </w:r>
      <w:r>
        <w:rPr>
          <w:rFonts w:hint="eastAsia"/>
          <w:szCs w:val="30"/>
        </w:rPr>
        <w:t>。</w:t>
      </w:r>
    </w:p>
    <w:p w14:paraId="2E2EF237">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w:t>
      </w:r>
      <w:bookmarkStart w:id="54" w:name="_Hlk102864637"/>
      <w:r>
        <w:rPr>
          <w:rFonts w:hint="eastAsia" w:ascii="黑体" w:hAnsi="黑体" w:eastAsia="黑体"/>
          <w:sz w:val="36"/>
          <w:szCs w:val="36"/>
        </w:rPr>
        <w:t>巩固提升传统优势产业</w:t>
      </w:r>
      <w:bookmarkEnd w:id="54"/>
    </w:p>
    <w:p w14:paraId="2DE52173">
      <w:pPr>
        <w:spacing w:line="600" w:lineRule="exact"/>
        <w:ind w:firstLine="643"/>
        <w:jc w:val="left"/>
        <w:rPr>
          <w:szCs w:val="30"/>
        </w:rPr>
      </w:pPr>
      <w:r>
        <w:rPr>
          <w:rFonts w:hint="eastAsia"/>
          <w:b/>
          <w:bCs/>
          <w:szCs w:val="30"/>
        </w:rPr>
        <w:t>机械制造产业。</w:t>
      </w:r>
      <w:r>
        <w:rPr>
          <w:rFonts w:hint="eastAsia" w:ascii="仿宋" w:hAnsi="仿宋" w:eastAsia="仿宋" w:cs="仿宋"/>
          <w:color w:val="0000FF"/>
          <w:sz w:val="32"/>
          <w:szCs w:val="32"/>
          <w:lang w:val="en-US" w:eastAsia="zh-CN"/>
        </w:rPr>
        <w:t>依托闽侯经济技术开发区，推进产业智能化、信息化改造，加强对机械制造产业的技术、工艺、设备升级更新改造，推广先进技术和管理方法</w:t>
      </w:r>
      <w:r>
        <w:rPr>
          <w:rFonts w:hint="eastAsia"/>
          <w:color w:val="0000FF"/>
          <w:szCs w:val="30"/>
        </w:rPr>
        <w:t>。</w:t>
      </w:r>
      <w:r>
        <w:rPr>
          <w:rFonts w:hint="eastAsia"/>
          <w:szCs w:val="30"/>
        </w:rPr>
        <w:t>重点发展高端机械装备制造、高效电机、自动化切割设备等。</w:t>
      </w:r>
    </w:p>
    <w:p w14:paraId="2B7B9DD6">
      <w:pPr>
        <w:widowControl/>
        <w:spacing w:line="600" w:lineRule="exact"/>
        <w:ind w:firstLine="643"/>
        <w:jc w:val="left"/>
        <w:rPr>
          <w:szCs w:val="30"/>
        </w:rPr>
      </w:pPr>
      <w:r>
        <w:rPr>
          <w:rFonts w:hint="eastAsia"/>
          <w:b/>
          <w:bCs/>
          <w:szCs w:val="30"/>
        </w:rPr>
        <w:t>工艺品产业。</w:t>
      </w:r>
      <w:r>
        <w:rPr>
          <w:rFonts w:hint="eastAsia"/>
          <w:szCs w:val="30"/>
        </w:rPr>
        <w:t>做大做强工艺品行业，以品牌化、集约化、绿色化为导向，大力鼓励工艺品企业引进新技术、新工艺、新材料、新设备，开发高端、高附加值产品。推进产业与创意产业、文化产业结合、与电子商务融合。引导企业深耕国内市场，推动工艺品产业拓展国外市场。</w:t>
      </w:r>
    </w:p>
    <w:p w14:paraId="13B18929">
      <w:pPr>
        <w:widowControl/>
        <w:spacing w:line="600" w:lineRule="exact"/>
        <w:ind w:firstLine="643"/>
        <w:jc w:val="left"/>
        <w:rPr>
          <w:szCs w:val="30"/>
        </w:rPr>
      </w:pPr>
      <w:r>
        <w:rPr>
          <w:rFonts w:hint="eastAsia"/>
          <w:b/>
          <w:bCs/>
          <w:szCs w:val="30"/>
        </w:rPr>
        <w:t>纺织产业。</w:t>
      </w:r>
      <w:r>
        <w:rPr>
          <w:rFonts w:hint="eastAsia"/>
          <w:szCs w:val="30"/>
        </w:rPr>
        <w:t>推进</w:t>
      </w:r>
      <w:r>
        <w:rPr>
          <w:rFonts w:hint="eastAsia"/>
          <w:szCs w:val="30"/>
          <w:lang w:val="en-US" w:eastAsia="zh-CN"/>
        </w:rPr>
        <w:t>纺织</w:t>
      </w:r>
      <w:r>
        <w:rPr>
          <w:rFonts w:hint="eastAsia"/>
          <w:szCs w:val="30"/>
        </w:rPr>
        <w:t>企业工艺升级，实现生产过程自动化、智能化。大力发展高档服装面料、产业用布和家用纺织品。引进服装时尚创意设计模式，做大做强服装品牌。加快推进“互联网+”纺织业，发展电子商务，整合线上线下销售，创新纺织业产品销售业态。</w:t>
      </w:r>
    </w:p>
    <w:p w14:paraId="1765772A">
      <w:pPr>
        <w:widowControl/>
        <w:spacing w:line="600" w:lineRule="exact"/>
        <w:ind w:firstLine="643"/>
        <w:jc w:val="left"/>
        <w:rPr>
          <w:szCs w:val="30"/>
        </w:rPr>
      </w:pPr>
      <w:r>
        <w:rPr>
          <w:rFonts w:hint="eastAsia"/>
          <w:b/>
          <w:bCs/>
          <w:szCs w:val="30"/>
        </w:rPr>
        <w:t>建材产业。</w:t>
      </w:r>
      <w:bookmarkStart w:id="142" w:name="_GoBack"/>
      <w:r>
        <w:rPr>
          <w:rFonts w:hint="eastAsia" w:ascii="仿宋" w:hAnsi="仿宋" w:eastAsia="仿宋" w:cs="仿宋"/>
          <w:color w:val="0000FF"/>
          <w:sz w:val="32"/>
          <w:szCs w:val="32"/>
          <w:lang w:val="en-US" w:eastAsia="zh-CN"/>
        </w:rPr>
        <w:t>鼓励建材企业积极对接城市公建项目，提升产品、做大规模。</w:t>
      </w:r>
      <w:bookmarkEnd w:id="142"/>
      <w:r>
        <w:rPr>
          <w:rFonts w:hint="eastAsia"/>
          <w:szCs w:val="30"/>
        </w:rPr>
        <w:t>大力发展新型建材项目，重点发展绿色墙体材料、装饰装修材料等新型建筑材料以及新型综合管道材料。推动互联网、大数据、人工智能与建材制造业间的深度融合，促进建材装备数字化、网络化、智能化发展，大力推广清洁生产、减排治污、循环利用等先进工艺技术设备。</w:t>
      </w:r>
    </w:p>
    <w:p w14:paraId="6F2D6814">
      <w:pPr>
        <w:widowControl/>
        <w:spacing w:line="600" w:lineRule="exact"/>
        <w:ind w:firstLine="643"/>
        <w:jc w:val="left"/>
        <w:rPr>
          <w:szCs w:val="30"/>
        </w:rPr>
      </w:pPr>
      <w:r>
        <w:rPr>
          <w:rFonts w:hint="eastAsia"/>
          <w:b/>
          <w:bCs/>
          <w:szCs w:val="30"/>
        </w:rPr>
        <w:t>食品产业。</w:t>
      </w:r>
      <w:r>
        <w:rPr>
          <w:rFonts w:hint="eastAsia"/>
          <w:color w:val="0000FF"/>
          <w:szCs w:val="30"/>
        </w:rPr>
        <w:t>助推</w:t>
      </w:r>
      <w:r>
        <w:rPr>
          <w:rFonts w:hint="eastAsia"/>
          <w:color w:val="0000FF"/>
          <w:szCs w:val="30"/>
          <w:lang w:val="en-US" w:eastAsia="zh-CN"/>
        </w:rPr>
        <w:t>食品生产龙头</w:t>
      </w:r>
      <w:r>
        <w:rPr>
          <w:rFonts w:hint="eastAsia"/>
          <w:color w:val="0000FF"/>
          <w:szCs w:val="30"/>
        </w:rPr>
        <w:t>企业打造品牌</w:t>
      </w:r>
      <w:r>
        <w:rPr>
          <w:rFonts w:hint="eastAsia"/>
          <w:szCs w:val="30"/>
        </w:rPr>
        <w:t>。依托闽侯县农副产品生产基地，大力发展绿色粮油食品、方便休闲食品和果蔬饮料等食品加工业。推动食品产业数字化转型升级，加快在加工、保鲜技术、新包装材料等领域创新提高精深加工水平。</w:t>
      </w:r>
    </w:p>
    <w:p w14:paraId="7347A0BF">
      <w:pPr>
        <w:widowControl/>
        <w:spacing w:line="600" w:lineRule="exact"/>
        <w:ind w:firstLine="643"/>
        <w:jc w:val="left"/>
        <w:rPr>
          <w:szCs w:val="30"/>
        </w:rPr>
      </w:pPr>
      <w:r>
        <w:rPr>
          <w:rFonts w:hint="eastAsia"/>
          <w:b/>
          <w:bCs/>
          <w:szCs w:val="30"/>
        </w:rPr>
        <w:t>汽车产业。</w:t>
      </w:r>
      <w:r>
        <w:rPr>
          <w:szCs w:val="30"/>
        </w:rPr>
        <w:t>依托福建奔驰和东南汽车进一步拓展汽车整车制造产业，同时加快新能源汽车整车生产项目招引和推进，努力构建乘用车、商务车、新能源汽车全系列整车制造产业集群。</w:t>
      </w:r>
      <w:r>
        <w:rPr>
          <w:rFonts w:hint="eastAsia"/>
          <w:szCs w:val="30"/>
        </w:rPr>
        <w:t>以整车企业改造升级为重点，以推进新能源、智能网联汽车发展为突破口，加快全产业链转型升级步伐。</w:t>
      </w:r>
    </w:p>
    <w:p w14:paraId="0A885155">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4.推进生态产业化、产业生态化</w:t>
      </w:r>
    </w:p>
    <w:p w14:paraId="64DA1EC3">
      <w:pPr>
        <w:spacing w:line="600" w:lineRule="exact"/>
        <w:ind w:firstLine="640"/>
        <w:jc w:val="left"/>
      </w:pPr>
      <w:r>
        <w:rPr>
          <w:rFonts w:hint="eastAsia"/>
          <w:szCs w:val="30"/>
        </w:rPr>
        <w:t xml:space="preserve">拓展生态资源产业化路径，大力推进传统农业向生态农业转变，提高农业产业化、市场化及信息化水平。调整种植产业结构，不断强化农业的经济、生态和服务功能，促进农业向三产业转型。加快构建经济生态化、生态经济化的绿色、循环、低碳经济社会发展体系。大力发展循环低碳经济，培育壮大先进绿色制造业，重点发展科技含量高、资源消耗低、环境污染少的高端制造、智能制造，培育壮大电子信息、机械装备、生物医药、新材料、新能源等绿色产业集群。壮大环保战略新兴产业，推进 </w:t>
      </w:r>
      <w:r>
        <w:rPr>
          <w:rFonts w:ascii="仿宋_GB2312" w:hAnsi="仿宋_GB2312" w:cs="仿宋_GB2312"/>
          <w:szCs w:val="30"/>
        </w:rPr>
        <w:t>5G</w:t>
      </w:r>
      <w:r>
        <w:rPr>
          <w:rFonts w:hint="eastAsia"/>
          <w:szCs w:val="30"/>
        </w:rPr>
        <w:t>、物联网、云计算、大数据、区块链、人工智能等新一代信息技术与绿色环保产业的深度融合创新。</w:t>
      </w:r>
    </w:p>
    <w:p w14:paraId="33F76D56">
      <w:pPr>
        <w:pStyle w:val="7"/>
        <w:spacing w:line="600" w:lineRule="exact"/>
        <w:ind w:firstLine="0" w:firstLineChars="0"/>
        <w:rPr>
          <w:rFonts w:ascii="黑体" w:hAnsi="黑体" w:eastAsia="黑体" w:cs="Times New Roman"/>
          <w:bCs w:val="0"/>
          <w:sz w:val="40"/>
          <w:szCs w:val="40"/>
        </w:rPr>
      </w:pPr>
      <w:bookmarkStart w:id="55" w:name="_Toc103937265"/>
      <w:bookmarkStart w:id="56" w:name="_Toc103937007"/>
      <w:r>
        <w:rPr>
          <w:rFonts w:ascii="黑体" w:hAnsi="黑体" w:eastAsia="黑体" w:cs="Times New Roman"/>
          <w:bCs w:val="0"/>
          <w:sz w:val="40"/>
          <w:szCs w:val="40"/>
        </w:rPr>
        <w:t>（</w:t>
      </w:r>
      <w:r>
        <w:rPr>
          <w:rFonts w:hint="eastAsia" w:ascii="黑体" w:hAnsi="黑体" w:eastAsia="黑体" w:cs="Times New Roman"/>
          <w:bCs w:val="0"/>
          <w:sz w:val="40"/>
          <w:szCs w:val="40"/>
        </w:rPr>
        <w:t>二</w:t>
      </w:r>
      <w:r>
        <w:rPr>
          <w:rFonts w:ascii="黑体" w:hAnsi="黑体" w:eastAsia="黑体" w:cs="Times New Roman"/>
          <w:bCs w:val="0"/>
          <w:sz w:val="40"/>
          <w:szCs w:val="40"/>
        </w:rPr>
        <w:t>）</w:t>
      </w:r>
      <w:r>
        <w:rPr>
          <w:rFonts w:hint="eastAsia" w:ascii="黑体" w:hAnsi="黑体" w:eastAsia="黑体" w:cs="Times New Roman"/>
          <w:bCs w:val="0"/>
          <w:sz w:val="40"/>
          <w:szCs w:val="40"/>
        </w:rPr>
        <w:t>应对气候变化，巩固蓝天保卫战成果</w:t>
      </w:r>
      <w:bookmarkEnd w:id="55"/>
      <w:bookmarkEnd w:id="56"/>
    </w:p>
    <w:p w14:paraId="581905B4">
      <w:pPr>
        <w:pStyle w:val="8"/>
        <w:spacing w:before="240" w:after="240" w:line="600" w:lineRule="exact"/>
        <w:ind w:firstLine="567" w:firstLineChars="157"/>
        <w:rPr>
          <w:rFonts w:ascii="黑体" w:hAnsi="黑体" w:eastAsia="黑体"/>
          <w:sz w:val="36"/>
          <w:szCs w:val="36"/>
        </w:rPr>
      </w:pPr>
      <w:r>
        <w:rPr>
          <w:rFonts w:ascii="黑体" w:hAnsi="黑体" w:eastAsia="黑体"/>
          <w:sz w:val="36"/>
          <w:szCs w:val="36"/>
        </w:rPr>
        <w:t>1.</w:t>
      </w:r>
      <w:r>
        <w:rPr>
          <w:rFonts w:hint="eastAsia" w:ascii="黑体" w:hAnsi="黑体" w:eastAsia="黑体"/>
          <w:sz w:val="36"/>
          <w:szCs w:val="36"/>
        </w:rPr>
        <w:t>构建清洁高效能源体系</w:t>
      </w:r>
    </w:p>
    <w:p w14:paraId="2236AEEB">
      <w:pPr>
        <w:widowControl/>
        <w:spacing w:line="600" w:lineRule="exact"/>
        <w:ind w:firstLine="640"/>
        <w:jc w:val="left"/>
        <w:rPr>
          <w:szCs w:val="30"/>
        </w:rPr>
      </w:pPr>
      <w:r>
        <w:rPr>
          <w:rFonts w:hint="eastAsia"/>
          <w:szCs w:val="30"/>
        </w:rPr>
        <w:t>加大清洁能源基础设施建设，重点加快海西天然气管网工程（福州</w:t>
      </w:r>
      <w:r>
        <w:rPr>
          <w:rFonts w:hint="eastAsia" w:ascii="宋体" w:hAnsi="宋体" w:eastAsia="宋体"/>
          <w:szCs w:val="30"/>
        </w:rPr>
        <w:t>～</w:t>
      </w:r>
      <w:r>
        <w:rPr>
          <w:rFonts w:hint="eastAsia"/>
          <w:szCs w:val="30"/>
        </w:rPr>
        <w:t>三明段）闽侯段项目。完善各乡镇、产业园区供电基础设施，构建技术先进、经济高效的智能电网。积极稳妥发展风能、抽水蓄能等非石化能源，提高清洁能源比重。依托青口汽车工业园区、闽侯经济技术开发区和南通物流园，培育发展清洁能源和可再生能源相关配套产业。重点区域新建项目原则上使用天然气、电等清洁能源，不再新建、扩建使用煤、重油、渣油及直接燃用未加工生物质等高污染燃料的建设项目。</w:t>
      </w:r>
    </w:p>
    <w:p w14:paraId="26D6E497">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2.深化大气污染综合治理</w:t>
      </w:r>
    </w:p>
    <w:p w14:paraId="03AD72F9">
      <w:pPr>
        <w:spacing w:line="600" w:lineRule="exact"/>
        <w:ind w:firstLine="643"/>
        <w:jc w:val="left"/>
        <w:rPr>
          <w:szCs w:val="30"/>
        </w:rPr>
      </w:pPr>
      <w:r>
        <w:rPr>
          <w:rFonts w:hint="eastAsia"/>
          <w:b/>
          <w:szCs w:val="30"/>
        </w:rPr>
        <w:t>推进挥发性有机污染物整治。</w:t>
      </w:r>
      <w:r>
        <w:rPr>
          <w:rFonts w:hint="eastAsia"/>
          <w:szCs w:val="30"/>
        </w:rPr>
        <w:t>重点加强闽侯汽车工业、汽车零配件加工、工艺品制造、包装印刷、制鞋、家具制造等重点行业挥发性有机物排放综合整治，整治工艺品“散乱污”企业，推进企业升级改造，鼓励企业使用水性涂料等，强化挥发性有机污染物末端治理，确保污染物达标排放，逐步推动重点企业编制挥发性有机物治理“一厂一策”。推进</w:t>
      </w:r>
      <w:r>
        <w:rPr>
          <w:rFonts w:hint="eastAsia" w:ascii="仿宋_GB2312" w:hAnsi="仿宋_GB2312" w:cs="仿宋_GB2312"/>
          <w:szCs w:val="30"/>
        </w:rPr>
        <w:t>V</w:t>
      </w:r>
      <w:r>
        <w:rPr>
          <w:rFonts w:ascii="仿宋_GB2312" w:hAnsi="仿宋_GB2312" w:cs="仿宋_GB2312"/>
          <w:szCs w:val="30"/>
        </w:rPr>
        <w:t>OCs</w:t>
      </w:r>
      <w:r>
        <w:rPr>
          <w:rFonts w:hint="eastAsia"/>
          <w:szCs w:val="30"/>
        </w:rPr>
        <w:t>重点监管企业安装在线监控设施，加强建筑、汽修、家具制造、干洗行业环境综合整治和执法监管，禁止露天喷漆和露天干燥。推动企业加大源头替代力度，推广使用低（无）</w:t>
      </w:r>
      <w:r>
        <w:rPr>
          <w:rFonts w:hint="eastAsia" w:ascii="仿宋_GB2312" w:hAnsi="仿宋_GB2312" w:cs="仿宋_GB2312"/>
          <w:szCs w:val="30"/>
        </w:rPr>
        <w:t>V</w:t>
      </w:r>
      <w:r>
        <w:rPr>
          <w:rFonts w:ascii="仿宋_GB2312" w:hAnsi="仿宋_GB2312" w:cs="仿宋_GB2312"/>
          <w:szCs w:val="30"/>
        </w:rPr>
        <w:t>OCs</w:t>
      </w:r>
      <w:r>
        <w:rPr>
          <w:rFonts w:hint="eastAsia"/>
          <w:szCs w:val="30"/>
        </w:rPr>
        <w:t>含量的原辅材料，禁止生产高</w:t>
      </w:r>
      <w:r>
        <w:rPr>
          <w:rFonts w:hint="eastAsia" w:ascii="仿宋_GB2312" w:hAnsi="仿宋_GB2312" w:cs="仿宋_GB2312"/>
          <w:szCs w:val="30"/>
        </w:rPr>
        <w:t>V</w:t>
      </w:r>
      <w:r>
        <w:rPr>
          <w:rFonts w:ascii="仿宋_GB2312" w:hAnsi="仿宋_GB2312" w:cs="仿宋_GB2312"/>
          <w:szCs w:val="30"/>
        </w:rPr>
        <w:t>OCs</w:t>
      </w:r>
      <w:r>
        <w:rPr>
          <w:rFonts w:hint="eastAsia"/>
          <w:szCs w:val="30"/>
        </w:rPr>
        <w:t>含量有机溶剂型涂料、油墨和胶黏剂的新、改、扩建项目，推进重点企业“油改水”项目，提高有机溶剂回收率。</w:t>
      </w:r>
    </w:p>
    <w:p w14:paraId="53897117">
      <w:pPr>
        <w:spacing w:line="600" w:lineRule="exact"/>
        <w:ind w:firstLine="643"/>
        <w:rPr>
          <w:szCs w:val="30"/>
        </w:rPr>
      </w:pPr>
      <w:r>
        <w:rPr>
          <w:rFonts w:hint="eastAsia" w:ascii="仿宋_GB2312" w:hAnsi="仿宋_GB2312" w:cs="仿宋_GB2312"/>
          <w:b/>
          <w:szCs w:val="30"/>
        </w:rPr>
        <w:t>强化工业废气污染防治。</w:t>
      </w:r>
      <w:r>
        <w:rPr>
          <w:rFonts w:hint="eastAsia"/>
          <w:szCs w:val="30"/>
        </w:rPr>
        <w:t>调整优化产业结构，提高环境准入，强化源头管理，严格控制高耗能、高污染项目在闽侯落地，新建项目按规定入驻工业集中区，采用清洁能源，加快淘汰落后产能。持续推进工业源全面达标排放，认真落实排污许可制度，加大超标处罚力度，对问题严重、达标无望的，依法责令关闭。加快实施锅炉综合整治和锅炉改燃项目建设。</w:t>
      </w:r>
    </w:p>
    <w:p w14:paraId="7ADAC4ED">
      <w:pPr>
        <w:spacing w:line="600" w:lineRule="exact"/>
        <w:ind w:firstLine="643"/>
        <w:rPr>
          <w:rFonts w:ascii="仿宋_GB2312" w:hAnsi="仿宋_GB2312" w:cs="仿宋_GB2312"/>
          <w:szCs w:val="30"/>
        </w:rPr>
      </w:pPr>
      <w:r>
        <w:rPr>
          <w:rFonts w:hint="eastAsia" w:ascii="仿宋_GB2312" w:hAnsi="仿宋_GB2312" w:cs="仿宋_GB2312"/>
          <w:b/>
          <w:szCs w:val="30"/>
        </w:rPr>
        <w:t>大力加强面源污染治理。</w:t>
      </w:r>
      <w:r>
        <w:rPr>
          <w:rFonts w:hint="eastAsia" w:ascii="仿宋_GB2312" w:hAnsi="仿宋_GB2312" w:cs="仿宋_GB2312"/>
          <w:szCs w:val="30"/>
        </w:rPr>
        <w:t>加强工地扬尘污染整治，严格落实《建设工程文明施工导则》，强化施工扬尘监管，规范建筑施工扬尘防治措施，在城区房建工地安装扬尘在线监测系统，实现渣土运输车辆的全过程监控。加大道路保洁和冲洗力度，加强道路扬尘治理。加强餐饮业油烟污染治理，强化部门联动，推进餐饮服务单位安装油烟净化器，逐步推进安装油烟在线监控。强化生物质焚烧面源污染治理，严禁违规露天焚烧垃圾、园林废物、农作物秸秆等生物质。</w:t>
      </w:r>
    </w:p>
    <w:p w14:paraId="5B7F65CB">
      <w:pPr>
        <w:spacing w:line="600" w:lineRule="exact"/>
        <w:ind w:firstLine="643"/>
        <w:rPr>
          <w:rFonts w:ascii="仿宋_GB2312" w:hAnsi="仿宋_GB2312" w:cs="仿宋_GB2312"/>
          <w:szCs w:val="30"/>
        </w:rPr>
      </w:pPr>
      <w:r>
        <w:rPr>
          <w:rFonts w:hint="eastAsia" w:ascii="仿宋_GB2312" w:hAnsi="仿宋_GB2312" w:cs="仿宋_GB2312"/>
          <w:b/>
          <w:szCs w:val="30"/>
        </w:rPr>
        <w:t>加大移动源污染整治力度。</w:t>
      </w:r>
      <w:r>
        <w:rPr>
          <w:rFonts w:hint="eastAsia" w:ascii="仿宋_GB2312" w:hAnsi="仿宋_GB2312" w:cs="仿宋_GB2312"/>
          <w:szCs w:val="30"/>
        </w:rPr>
        <w:t xml:space="preserve">加强机动车道路和停放地尾气监督检测，推进机动车“天地车人”一体化监控系统建设，整合各类尾气检测数据，完善机动车尾气污染监督管理平台。加强对机动车排放检验机构的监督管理，开展机动车排气污染物检测联合执法，严厉打击尾气超标排放车辆。推进高污染车辆城区限行，禁止国 </w:t>
      </w:r>
      <w:r>
        <w:rPr>
          <w:szCs w:val="30"/>
        </w:rPr>
        <w:t xml:space="preserve">Ⅰ </w:t>
      </w:r>
      <w:r>
        <w:rPr>
          <w:rFonts w:hint="eastAsia" w:ascii="仿宋_GB2312" w:hAnsi="仿宋_GB2312" w:cs="仿宋_GB2312"/>
          <w:szCs w:val="30"/>
        </w:rPr>
        <w:t xml:space="preserve">汽油车、国 </w:t>
      </w:r>
      <w:r>
        <w:rPr>
          <w:szCs w:val="30"/>
        </w:rPr>
        <w:t xml:space="preserve">Ⅳ </w:t>
      </w:r>
      <w:r>
        <w:rPr>
          <w:rFonts w:hint="eastAsia" w:ascii="仿宋_GB2312" w:hAnsi="仿宋_GB2312" w:cs="仿宋_GB2312"/>
          <w:szCs w:val="30"/>
        </w:rPr>
        <w:t xml:space="preserve">以下重中型柴油货运车在城区通行，鼓励国 </w:t>
      </w:r>
      <w:r>
        <w:rPr>
          <w:szCs w:val="30"/>
        </w:rPr>
        <w:t xml:space="preserve">Ⅰ </w:t>
      </w:r>
      <w:r>
        <w:rPr>
          <w:rFonts w:hint="eastAsia" w:ascii="仿宋_GB2312" w:hAnsi="仿宋_GB2312" w:cs="仿宋_GB2312"/>
          <w:szCs w:val="30"/>
        </w:rPr>
        <w:t>汽油车提前淘汰。加大对加油站、储油库、油罐车</w:t>
      </w:r>
      <w:bookmarkStart w:id="57" w:name="_Hlk102232266"/>
      <w:r>
        <w:rPr>
          <w:rFonts w:hint="eastAsia" w:ascii="仿宋_GB2312" w:hAnsi="仿宋_GB2312" w:cs="仿宋_GB2312"/>
          <w:szCs w:val="30"/>
        </w:rPr>
        <w:t>V</w:t>
      </w:r>
      <w:r>
        <w:rPr>
          <w:rFonts w:ascii="仿宋_GB2312" w:hAnsi="仿宋_GB2312" w:cs="仿宋_GB2312"/>
          <w:szCs w:val="30"/>
        </w:rPr>
        <w:t>OCs</w:t>
      </w:r>
      <w:r>
        <w:rPr>
          <w:szCs w:val="30"/>
        </w:rPr>
        <w:t xml:space="preserve"> </w:t>
      </w:r>
      <w:bookmarkEnd w:id="57"/>
      <w:r>
        <w:rPr>
          <w:rFonts w:hint="eastAsia" w:ascii="仿宋_GB2312" w:hAnsi="仿宋_GB2312" w:cs="仿宋_GB2312"/>
          <w:szCs w:val="30"/>
        </w:rPr>
        <w:t>排放和油气回收设施的日常监管。积极推广新能源汽车，加快推进新能源和清洁能源公交车替换。</w:t>
      </w:r>
    </w:p>
    <w:p w14:paraId="07B90470">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3.推进区域大气联防联控</w:t>
      </w:r>
    </w:p>
    <w:p w14:paraId="010C792D">
      <w:pPr>
        <w:spacing w:line="600" w:lineRule="exact"/>
        <w:ind w:firstLine="640"/>
        <w:rPr>
          <w:rFonts w:ascii="仿宋_GB2312" w:hAnsi="仿宋_GB2312" w:cs="仿宋_GB2312"/>
          <w:szCs w:val="30"/>
        </w:rPr>
      </w:pPr>
      <w:r>
        <w:rPr>
          <w:rFonts w:hint="eastAsia" w:ascii="仿宋_GB2312" w:hAnsi="仿宋_GB2312" w:cs="仿宋_GB2312"/>
          <w:szCs w:val="30"/>
        </w:rPr>
        <w:t>加强大气污染预警应对。完善重污染天气应急预案管理，将重污染天气应急响应纳入闽侯县政府突发事件应急管理体系，加强应急培训和演练，适时完善预案修订，严格落实部门和企事业单位在应对重污染天气应对职责，企事业单位应当将相关内容纳入本单位突发环境应急预案。加强轻微污染天气应对，提高城区臭氧污染及颗粒物污染形势的分析研判及监管防控能力，及时启动轻微污染天气应急响应，加强对燃煤、燃油、燃成型生物质锅炉和加油站油气回收装置运行、工艺品企业、车辆维修店废气排放监督检查，开展V</w:t>
      </w:r>
      <w:r>
        <w:rPr>
          <w:rFonts w:ascii="仿宋_GB2312" w:hAnsi="仿宋_GB2312" w:cs="仿宋_GB2312"/>
          <w:szCs w:val="30"/>
        </w:rPr>
        <w:t>OCs</w:t>
      </w:r>
      <w:r>
        <w:rPr>
          <w:szCs w:val="30"/>
        </w:rPr>
        <w:t>、</w:t>
      </w:r>
      <w:r>
        <w:rPr>
          <w:rFonts w:ascii="仿宋_GB2312" w:hAnsi="仿宋_GB2312" w:cs="仿宋_GB2312"/>
          <w:szCs w:val="30"/>
        </w:rPr>
        <w:t>NOx</w:t>
      </w:r>
      <w:r>
        <w:rPr>
          <w:rFonts w:hint="eastAsia" w:ascii="仿宋_GB2312" w:hAnsi="仿宋_GB2312" w:cs="仿宋_GB2312"/>
          <w:szCs w:val="30"/>
        </w:rPr>
        <w:t>协同减排。</w:t>
      </w:r>
    </w:p>
    <w:p w14:paraId="57668A29">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4.引导探索碳达峰方案</w:t>
      </w:r>
    </w:p>
    <w:p w14:paraId="665A7CA6">
      <w:pPr>
        <w:spacing w:line="600" w:lineRule="exact"/>
        <w:ind w:firstLine="640"/>
        <w:rPr>
          <w:rFonts w:ascii="仿宋_GB2312" w:hAnsi="仿宋_GB2312" w:cs="仿宋_GB2312"/>
          <w:szCs w:val="30"/>
        </w:rPr>
      </w:pPr>
      <w:r>
        <w:rPr>
          <w:rFonts w:hint="eastAsia" w:ascii="仿宋_GB2312" w:hAnsi="仿宋_GB2312" w:cs="仿宋_GB2312"/>
          <w:szCs w:val="30"/>
        </w:rPr>
        <w:t>围绕习近平总书记提出的碳排放达峰及碳中和绿色发展目标，把降碳作为促进经济社会全面绿色转型的总抓手，聚焦“减污降碳”。积极落实福州市碳排放达峰和碳中和行动方案，将碳达峰与碳中和工作全面融入经济社会发展和生态文明建设布局，科学制定碳达峰、碳中和的“闽侯路径”。突出源头降碳治理，实施二氧化碳排放强度和总量双控，针对高能耗行业制定针对性碳排放控制要求，探索加快传统产业低碳化改造，加大对高能耗、高排放落后产能的淘汰力度，加快建设绿色低碳的工业体系、能源体系、交通体系、建筑体系，完善低碳市场机制和政策措施。推动绿色低碳城市发展，推动经济绿色低碳高质量发展，为尽早实现碳达峰奠定坚实基础。</w:t>
      </w:r>
    </w:p>
    <w:p w14:paraId="5FA8A822">
      <w:pPr>
        <w:widowControl/>
        <w:spacing w:before="312" w:beforeLines="100" w:line="600" w:lineRule="exact"/>
        <w:ind w:firstLine="0" w:firstLineChars="0"/>
        <w:jc w:val="center"/>
        <w:rPr>
          <w:b/>
          <w:bCs/>
          <w:szCs w:val="30"/>
        </w:rPr>
      </w:pPr>
      <w:r>
        <w:rPr>
          <w:rFonts w:hint="eastAsia"/>
          <w:b/>
          <w:bCs/>
          <w:szCs w:val="30"/>
        </w:rPr>
        <w:t xml:space="preserve">专栏 </w:t>
      </w:r>
      <w:r>
        <w:rPr>
          <w:b/>
          <w:bCs/>
          <w:szCs w:val="30"/>
        </w:rPr>
        <w:t>1</w:t>
      </w:r>
      <w:r>
        <w:rPr>
          <w:rFonts w:hint="eastAsia"/>
          <w:b/>
          <w:bCs/>
          <w:szCs w:val="30"/>
        </w:rPr>
        <w:t xml:space="preserve"> </w:t>
      </w:r>
      <w:r>
        <w:rPr>
          <w:b/>
          <w:bCs/>
          <w:szCs w:val="30"/>
        </w:rPr>
        <w:t xml:space="preserve"> </w:t>
      </w:r>
      <w:r>
        <w:rPr>
          <w:rFonts w:hint="eastAsia"/>
          <w:b/>
          <w:bCs/>
          <w:szCs w:val="30"/>
        </w:rPr>
        <w:t>蓝天保卫战重点工程</w:t>
      </w:r>
    </w:p>
    <w:tbl>
      <w:tblPr>
        <w:tblStyle w:val="2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5"/>
      </w:tblGrid>
      <w:tr w14:paraId="14C5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265" w:type="dxa"/>
          </w:tcPr>
          <w:p w14:paraId="79F83C5C">
            <w:pPr>
              <w:spacing w:before="156" w:beforeLines="50"/>
              <w:ind w:left="641" w:firstLine="0" w:firstLineChars="0"/>
              <w:rPr>
                <w:b/>
                <w:bCs/>
                <w:sz w:val="28"/>
              </w:rPr>
            </w:pPr>
            <w:r>
              <w:rPr>
                <w:b/>
                <w:bCs/>
                <w:sz w:val="28"/>
              </w:rPr>
              <w:t>1</w:t>
            </w:r>
            <w:r>
              <w:rPr>
                <w:rFonts w:hint="eastAsia"/>
                <w:b/>
                <w:bCs/>
                <w:sz w:val="28"/>
              </w:rPr>
              <w:t>.</w:t>
            </w:r>
            <w:r>
              <w:rPr>
                <w:b/>
                <w:bCs/>
                <w:sz w:val="28"/>
              </w:rPr>
              <w:t xml:space="preserve"> </w:t>
            </w:r>
            <w:r>
              <w:rPr>
                <w:rFonts w:hint="eastAsia"/>
                <w:b/>
                <w:bCs/>
                <w:sz w:val="28"/>
              </w:rPr>
              <w:t>清洁能源工程</w:t>
            </w:r>
          </w:p>
          <w:p w14:paraId="0E9FD572">
            <w:pPr>
              <w:pStyle w:val="2"/>
              <w:spacing w:after="0" w:afterAutospacing="0"/>
              <w:ind w:firstLine="560"/>
              <w:rPr>
                <w:sz w:val="28"/>
              </w:rPr>
            </w:pPr>
            <w:r>
              <w:rPr>
                <w:rFonts w:hint="eastAsia"/>
                <w:sz w:val="28"/>
              </w:rPr>
              <w:t>以闽侯县入选全国整县屋顶分布式光伏开发试点县为契机，大力发展屋顶分布式光伏发电。</w:t>
            </w:r>
            <w:r>
              <w:rPr>
                <w:rFonts w:ascii="Times New Roman" w:hAnsi="Times New Roman" w:cs="Times New Roman"/>
                <w:sz w:val="28"/>
              </w:rPr>
              <w:t>加快推进闽侯县域综合智慧能源建设项目，建设150MW光伏发电站，50MW分散式风电</w:t>
            </w:r>
            <w:r>
              <w:rPr>
                <w:rFonts w:hint="eastAsia"/>
                <w:sz w:val="28"/>
              </w:rPr>
              <w:t>。</w:t>
            </w:r>
          </w:p>
          <w:p w14:paraId="67D02869">
            <w:pPr>
              <w:spacing w:before="78" w:beforeLines="25"/>
              <w:ind w:left="641" w:firstLine="0" w:firstLineChars="0"/>
              <w:rPr>
                <w:b/>
                <w:bCs/>
                <w:sz w:val="28"/>
              </w:rPr>
            </w:pPr>
            <w:r>
              <w:rPr>
                <w:b/>
                <w:bCs/>
                <w:sz w:val="28"/>
                <w:szCs w:val="24"/>
              </w:rPr>
              <w:t xml:space="preserve">2. </w:t>
            </w:r>
            <w:r>
              <w:rPr>
                <w:rFonts w:hint="eastAsia"/>
                <w:b/>
                <w:bCs/>
                <w:sz w:val="28"/>
                <w:szCs w:val="24"/>
              </w:rPr>
              <w:t>落实建设“电动福建”实施工程</w:t>
            </w:r>
          </w:p>
          <w:p w14:paraId="291D7D94">
            <w:pPr>
              <w:ind w:left="28" w:firstLine="560"/>
              <w:rPr>
                <w:rFonts w:ascii="宋体" w:hAnsi="宋体" w:cs="Tahoma"/>
                <w:sz w:val="28"/>
                <w:szCs w:val="15"/>
              </w:rPr>
            </w:pPr>
            <w:r>
              <w:rPr>
                <w:rFonts w:hint="eastAsia" w:ascii="宋体" w:hAnsi="宋体" w:cs="Tahoma"/>
                <w:sz w:val="28"/>
                <w:szCs w:val="15"/>
              </w:rPr>
              <w:t>大力发展新能源、智能网联汽车产业，以闽侯青口汽车工业园区为重点，支持奔驰汽车、东南汽车等龙头企业在新能源汽车、智能网联汽车、汽车服务业、汽车零部件等领域战略布局，打造新能源汽车产业基地。</w:t>
            </w:r>
          </w:p>
          <w:p w14:paraId="21ACA43C">
            <w:pPr>
              <w:spacing w:before="78" w:beforeLines="25"/>
              <w:ind w:left="641" w:firstLine="0" w:firstLineChars="0"/>
              <w:rPr>
                <w:b/>
                <w:bCs/>
                <w:sz w:val="28"/>
              </w:rPr>
            </w:pPr>
            <w:r>
              <w:rPr>
                <w:b/>
                <w:bCs/>
                <w:sz w:val="28"/>
              </w:rPr>
              <w:t>3</w:t>
            </w:r>
            <w:r>
              <w:rPr>
                <w:rFonts w:hint="eastAsia"/>
                <w:b/>
                <w:bCs/>
                <w:sz w:val="28"/>
              </w:rPr>
              <w:t>.</w:t>
            </w:r>
            <w:r>
              <w:rPr>
                <w:b/>
                <w:bCs/>
                <w:sz w:val="28"/>
              </w:rPr>
              <w:t xml:space="preserve"> </w:t>
            </w:r>
            <w:r>
              <w:rPr>
                <w:rFonts w:hint="eastAsia"/>
                <w:b/>
                <w:bCs/>
                <w:sz w:val="28"/>
              </w:rPr>
              <w:t>燃煤锅炉和小热电关停整合工程</w:t>
            </w:r>
          </w:p>
          <w:p w14:paraId="0322FB03">
            <w:pPr>
              <w:pStyle w:val="2"/>
              <w:spacing w:after="0" w:afterAutospacing="0"/>
              <w:ind w:firstLine="560"/>
            </w:pPr>
            <w:r>
              <w:rPr>
                <w:rFonts w:hint="eastAsia"/>
                <w:sz w:val="28"/>
              </w:rPr>
              <w:t>加大淘汰燃煤燃生物质燃油小锅炉，在2022年6月底前全面淘汰非专用生物质锅炉与2蒸吨（含）及以下燃煤、燃生物质、燃油小锅炉；2022年8月底、10月底前分别淘汰每小时9蒸吨以下、109蒸吨以下燃煤锅炉。</w:t>
            </w:r>
          </w:p>
          <w:p w14:paraId="7EE50711">
            <w:pPr>
              <w:spacing w:before="78" w:beforeLines="25"/>
              <w:ind w:left="641" w:firstLine="0" w:firstLineChars="0"/>
              <w:rPr>
                <w:b/>
                <w:bCs/>
                <w:sz w:val="28"/>
              </w:rPr>
            </w:pPr>
            <w:r>
              <w:rPr>
                <w:b/>
                <w:bCs/>
                <w:sz w:val="28"/>
              </w:rPr>
              <w:t>4</w:t>
            </w:r>
            <w:r>
              <w:rPr>
                <w:rFonts w:hint="eastAsia"/>
                <w:b/>
                <w:bCs/>
                <w:sz w:val="28"/>
              </w:rPr>
              <w:t>.</w:t>
            </w:r>
            <w:r>
              <w:rPr>
                <w:b/>
                <w:bCs/>
                <w:sz w:val="28"/>
              </w:rPr>
              <w:t xml:space="preserve"> </w:t>
            </w:r>
            <w:r>
              <w:rPr>
                <w:rFonts w:hint="eastAsia"/>
                <w:b/>
                <w:bCs/>
                <w:sz w:val="28"/>
              </w:rPr>
              <w:t>VOCs排放综合整治</w:t>
            </w:r>
          </w:p>
          <w:p w14:paraId="6EF275EB">
            <w:pPr>
              <w:ind w:firstLine="560"/>
              <w:jc w:val="left"/>
              <w:rPr>
                <w:sz w:val="28"/>
              </w:rPr>
            </w:pPr>
            <w:r>
              <w:rPr>
                <w:rFonts w:hint="eastAsia"/>
                <w:sz w:val="28"/>
              </w:rPr>
              <w:t>在闽侯县境内家具集中区、制鞋、印刷、工艺品等重点行业产业集聚区，对VOCs治理工程实施提标改造，探索开展第三方治理，积极推广集中喷涂中心、活性炭集中处理和再生中心、溶剂回收中心等集中处理处置新模式。在汽修行业集中区域，探索建设钣喷共享中心，配套建设适宜高效VOCs治理设施，钣喷共享中心辐射服务范围内逐步取消使用溶剂型涂料的钣喷车间。推动印刷、汽修等涉及喷涂工序等行业企业实施“油改水”，实施加油站三阶段 VOCs 治理工程。</w:t>
            </w:r>
          </w:p>
          <w:p w14:paraId="505F44D3">
            <w:pPr>
              <w:spacing w:before="78" w:beforeLines="25"/>
              <w:ind w:left="641" w:firstLine="0" w:firstLineChars="0"/>
              <w:rPr>
                <w:b/>
                <w:bCs/>
                <w:sz w:val="28"/>
              </w:rPr>
            </w:pPr>
            <w:r>
              <w:rPr>
                <w:b/>
                <w:bCs/>
                <w:sz w:val="28"/>
              </w:rPr>
              <w:t>5</w:t>
            </w:r>
            <w:r>
              <w:rPr>
                <w:rFonts w:hint="eastAsia"/>
                <w:b/>
                <w:bCs/>
                <w:sz w:val="28"/>
              </w:rPr>
              <w:t>.</w:t>
            </w:r>
            <w:r>
              <w:rPr>
                <w:b/>
                <w:bCs/>
                <w:sz w:val="28"/>
              </w:rPr>
              <w:t xml:space="preserve"> </w:t>
            </w:r>
            <w:r>
              <w:rPr>
                <w:rFonts w:hint="eastAsia"/>
                <w:b/>
                <w:bCs/>
                <w:sz w:val="28"/>
              </w:rPr>
              <w:t>重点行业污染治理</w:t>
            </w:r>
          </w:p>
          <w:p w14:paraId="0569A508">
            <w:pPr>
              <w:ind w:firstLine="562"/>
              <w:rPr>
                <w:sz w:val="28"/>
              </w:rPr>
            </w:pPr>
            <w:r>
              <w:rPr>
                <w:rFonts w:hint="eastAsia"/>
                <w:b/>
                <w:bCs/>
                <w:sz w:val="28"/>
              </w:rPr>
              <w:t>汽车行业：</w:t>
            </w:r>
            <w:r>
              <w:rPr>
                <w:rFonts w:hint="eastAsia"/>
                <w:sz w:val="28"/>
              </w:rPr>
              <w:t>提升汽车行业喷涂废气治理，实施有组织排放治理与监控、无组织排放治理与监控。推进福建奔驰汽车有限公司配套RTO废气处理系统项目建设，新建涂装车间配套浓缩转轮+TAR处理系统。</w:t>
            </w:r>
          </w:p>
          <w:p w14:paraId="282F6EF9">
            <w:pPr>
              <w:pStyle w:val="2"/>
              <w:spacing w:after="312" w:afterLines="100" w:afterAutospacing="0"/>
              <w:ind w:firstLine="562"/>
            </w:pPr>
            <w:r>
              <w:rPr>
                <w:rFonts w:hint="eastAsia"/>
                <w:b/>
                <w:bCs/>
                <w:sz w:val="28"/>
                <w:szCs w:val="28"/>
              </w:rPr>
              <w:t>工艺品行业：</w:t>
            </w:r>
            <w:r>
              <w:rPr>
                <w:rFonts w:hint="eastAsia"/>
                <w:sz w:val="28"/>
                <w:szCs w:val="28"/>
              </w:rPr>
              <w:t>工艺品制造行业喷涂车间废气治理设施提升改造，</w:t>
            </w:r>
            <w:r>
              <w:rPr>
                <w:rFonts w:hint="eastAsia"/>
                <w:color w:val="0000FF"/>
                <w:sz w:val="28"/>
                <w:szCs w:val="28"/>
              </w:rPr>
              <w:t>推进</w:t>
            </w:r>
            <w:r>
              <w:rPr>
                <w:rFonts w:hint="eastAsia"/>
                <w:color w:val="0000FF"/>
                <w:sz w:val="28"/>
                <w:szCs w:val="28"/>
                <w:lang w:val="en-US" w:eastAsia="zh-CN"/>
              </w:rPr>
              <w:t>工艺品生产企业</w:t>
            </w:r>
            <w:r>
              <w:rPr>
                <w:rFonts w:hint="eastAsia"/>
                <w:color w:val="0000FF"/>
                <w:sz w:val="28"/>
                <w:szCs w:val="28"/>
              </w:rPr>
              <w:t>购进静电喷涂</w:t>
            </w:r>
            <w:r>
              <w:rPr>
                <w:rFonts w:hint="eastAsia"/>
                <w:sz w:val="28"/>
                <w:szCs w:val="28"/>
              </w:rPr>
              <w:t>、盘式喷涂、环保设备、先进生产等先进设备，减少喷涂工序环境污染。</w:t>
            </w:r>
          </w:p>
        </w:tc>
      </w:tr>
    </w:tbl>
    <w:p w14:paraId="062C5C2C">
      <w:pPr>
        <w:pStyle w:val="7"/>
        <w:spacing w:line="600" w:lineRule="exact"/>
        <w:ind w:firstLine="0" w:firstLineChars="0"/>
        <w:rPr>
          <w:rFonts w:ascii="黑体" w:hAnsi="黑体" w:eastAsia="黑体" w:cs="Times New Roman"/>
          <w:bCs w:val="0"/>
          <w:sz w:val="40"/>
          <w:szCs w:val="40"/>
        </w:rPr>
      </w:pPr>
      <w:bookmarkStart w:id="58" w:name="_Toc103937008"/>
      <w:bookmarkStart w:id="59" w:name="_Toc103937266"/>
      <w:r>
        <w:rPr>
          <w:rFonts w:hint="eastAsia" w:ascii="黑体" w:hAnsi="黑体" w:eastAsia="黑体" w:cs="Times New Roman"/>
          <w:bCs w:val="0"/>
          <w:sz w:val="40"/>
          <w:szCs w:val="40"/>
        </w:rPr>
        <w:t>（三）坚持三水统筹，打造“美丽河湖”</w:t>
      </w:r>
      <w:bookmarkEnd w:id="58"/>
      <w:bookmarkEnd w:id="59"/>
    </w:p>
    <w:p w14:paraId="5E66FAD0">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1.提高城乡饮用水安全保障</w:t>
      </w:r>
    </w:p>
    <w:p w14:paraId="64A7801C">
      <w:pPr>
        <w:spacing w:line="600" w:lineRule="exact"/>
        <w:ind w:firstLine="640"/>
        <w:rPr>
          <w:rFonts w:ascii="仿宋_GB2312" w:hAnsi="仿宋_GB2312" w:cs="仿宋_GB2312"/>
          <w:szCs w:val="30"/>
        </w:rPr>
      </w:pPr>
      <w:r>
        <w:rPr>
          <w:rFonts w:hint="eastAsia" w:ascii="仿宋_GB2312" w:hAnsi="仿宋_GB2312" w:cs="仿宋_GB2312"/>
          <w:szCs w:val="30"/>
        </w:rPr>
        <w:t>加大饮用水水源地环境问题整治力度，开展水源保护区内违建项目清查整治工作，清理水源地一级保护区内与供水或水源保护无关的活动，拆除或关闭水源二级保护区内排放污染物的建设项目。推进水源地保护工程建设，加强饮用水源保护区规范化建设。加快闽侯县乡镇级饮用水水源地电子地图边界核对和定界工作。强化水源地水质监测，县级地表水源地实现水质自动监测，乡镇级饮用水源地定期开展水质监测。加快实施闽侯县城区应急备用水源工程建设。进一步加强农村饮用水水源保护，开展农村饮用水水源环境状况调查评估，全面推进千人以上农村集中供水饮用水水源地和千人以下农村分散式饮用水水源地保护范围划定及生态环境问题排查整治。完善农村“千吨万人”水源地和千人以上农村集中供水水源地监测方案，强化饮用水水源水质监控。持续推进水源上游及水源保护区周边居民及农村生活生产污水、垃圾收集处理。健全饮用水源安全预警制度和应急机制，强化水污染事故预防和水源突发事件应急处理的能力，确保全县生活饮用水安全。</w:t>
      </w:r>
    </w:p>
    <w:p w14:paraId="289F3557">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2.深化流域综合治理</w:t>
      </w:r>
    </w:p>
    <w:p w14:paraId="0FD08181">
      <w:pPr>
        <w:spacing w:line="600" w:lineRule="exact"/>
        <w:ind w:firstLine="640"/>
        <w:jc w:val="left"/>
        <w:rPr>
          <w:rFonts w:ascii="仿宋_GB2312" w:hAnsi="仿宋_GB2312" w:cs="仿宋_GB2312"/>
          <w:szCs w:val="30"/>
        </w:rPr>
      </w:pPr>
      <w:r>
        <w:rPr>
          <w:rFonts w:hint="eastAsia" w:ascii="仿宋_GB2312" w:hAnsi="仿宋_GB2312" w:cs="仿宋_GB2312"/>
          <w:szCs w:val="30"/>
        </w:rPr>
        <w:t>制订《闽侯县河湖水系综合治理行动方案》《闽侯县闽江流域生态环境综合治理工作方案》，推进“清四乱”行动，深化“清流行动”治理、实施“污水不入河”专项整治、深入全面完成县域内重点流域入河排放口排查专项行动等工作，加强闽江闽侯段等上游地区跨界水环境保护、水源涵养和生态修复，上游严格控制闽江干流及主要支流水电开发，优化库区水产养殖规划，控制畜禽养殖污染。下游地区重点开展城镇居民和高耗水工业企业节水工作，强化畜禽养殖、牲畜屠宰等行业的节水工作，提高城镇截污纳管和雨污分流，实施增殖放流，保障河岸湿地生态系统稳定及生物多样性。推动实施闽侯县200平方公里以下流域综合规划，统筹推进流域综合治理。继续实施小流域综合整治，全面落实“源头管控”、“一河一策”和</w:t>
      </w:r>
      <w:bookmarkStart w:id="60" w:name="_Hlk102228495"/>
      <w:r>
        <w:rPr>
          <w:rFonts w:hint="eastAsia" w:ascii="仿宋_GB2312" w:hAnsi="仿宋_GB2312" w:cs="仿宋_GB2312"/>
          <w:szCs w:val="30"/>
        </w:rPr>
        <w:t>“四有机制”</w:t>
      </w:r>
      <w:bookmarkEnd w:id="60"/>
      <w:r>
        <w:rPr>
          <w:rFonts w:hint="eastAsia" w:ascii="仿宋_GB2312" w:hAnsi="仿宋_GB2312" w:cs="仿宋_GB2312"/>
          <w:szCs w:val="30"/>
        </w:rPr>
        <w:t>的综合治理要求，综合采取环境治理工程措施与生态维护相结合，以河道清淤、水土保持整治和农村污染源治理为重点的污染防治措施，重点推进荆溪小流域和安平浦流域综合整治项目建设，全面巩固黑臭水体、劣V类小流域消除成效。加强小流域省考断面、乡镇交接断面等流域水质监测和监控预警，开展污染源跟踪、溯源追究，确保断面水质稳定达标。坚持实施一批“五水共治”项目，推进汽车城、南通、上街、荆溪4个片区河湖水系连通。</w:t>
      </w:r>
    </w:p>
    <w:p w14:paraId="633BA98C">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3.提升水资源保障能力</w:t>
      </w:r>
    </w:p>
    <w:p w14:paraId="325FAABF">
      <w:pPr>
        <w:spacing w:line="600" w:lineRule="exact"/>
        <w:ind w:firstLine="640"/>
        <w:rPr>
          <w:bCs/>
          <w:szCs w:val="30"/>
        </w:rPr>
      </w:pPr>
      <w:r>
        <w:rPr>
          <w:rFonts w:hint="eastAsia"/>
          <w:bCs/>
          <w:szCs w:val="30"/>
        </w:rPr>
        <w:t>优化配置区域水资源，推进闽侯县城区应急备用水源溪源宫水源地引水工程建设。落实闽江等重要河湖的生态流量保障方案，保障干流、主要支流枯水期生态流量和生态水位，确保断面生态流量（水位）达标。完善规划和建设项目水资源论证制度，严控水资源开发利用强度。水利、生态环境部门加强监管，督促水电站运营单位严格执行水电站最小生态下泄流量规定，全面落实最小生态下泄流量要求，以促进水资源科学有序可持续开发利用。鼓励城镇污水处理厂再生水、分散式污水处理设施尾水及经收集和处理后的雨水用于河道、湖泊生态补水。加快城乡供水一体化，整合优化城乡供水布局，实现城乡居民共享优质供水。</w:t>
      </w:r>
    </w:p>
    <w:p w14:paraId="6E94CB15">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w:t>
      </w:r>
      <w:r>
        <w:rPr>
          <w:rFonts w:ascii="黑体" w:hAnsi="黑体" w:eastAsia="黑体"/>
          <w:sz w:val="36"/>
          <w:szCs w:val="36"/>
        </w:rPr>
        <w:t>.</w:t>
      </w:r>
      <w:r>
        <w:rPr>
          <w:rFonts w:hint="eastAsia" w:ascii="黑体" w:hAnsi="黑体" w:eastAsia="黑体"/>
          <w:sz w:val="36"/>
          <w:szCs w:val="36"/>
        </w:rPr>
        <w:t>深入推进涉水污染减排</w:t>
      </w:r>
    </w:p>
    <w:p w14:paraId="2646EB91">
      <w:pPr>
        <w:spacing w:line="600" w:lineRule="exact"/>
        <w:ind w:firstLine="643"/>
        <w:rPr>
          <w:rFonts w:ascii="仿宋_GB2312" w:hAnsi="仿宋_GB2312" w:cs="仿宋_GB2312"/>
          <w:szCs w:val="30"/>
        </w:rPr>
      </w:pPr>
      <w:r>
        <w:rPr>
          <w:rFonts w:hint="eastAsia" w:ascii="仿宋_GB2312" w:hAnsi="仿宋_GB2312" w:cs="仿宋_GB2312"/>
          <w:b/>
          <w:szCs w:val="30"/>
        </w:rPr>
        <w:t>深入开展入河（湖）排污口整治。</w:t>
      </w:r>
      <w:r>
        <w:rPr>
          <w:rFonts w:hint="eastAsia" w:ascii="仿宋_GB2312" w:hAnsi="仿宋_GB2312" w:cs="仿宋_GB2312"/>
          <w:szCs w:val="30"/>
        </w:rPr>
        <w:t>规范入河（湖）排污口监管，按照“查、测、溯、治”的工作要求，持续推进入河（湖）排污口排查整治工作，逐一登记建档，严格审批新建排污口。加快推进闽江流域排放口整治，实施“封堵一批、整治一批、规范一批”，切实做好闽江流域入河排放口规范整治，强化入河排放口水质达标排放。</w:t>
      </w:r>
    </w:p>
    <w:p w14:paraId="3D4AF27B">
      <w:pPr>
        <w:spacing w:line="600" w:lineRule="exact"/>
        <w:ind w:firstLine="643"/>
        <w:rPr>
          <w:szCs w:val="30"/>
        </w:rPr>
      </w:pPr>
      <w:r>
        <w:rPr>
          <w:rFonts w:hint="eastAsia" w:ascii="仿宋_GB2312" w:hAnsi="仿宋_GB2312" w:cs="仿宋_GB2312"/>
          <w:b/>
          <w:szCs w:val="30"/>
        </w:rPr>
        <w:t>持续推进工业废水防治。</w:t>
      </w:r>
      <w:r>
        <w:rPr>
          <w:rFonts w:hint="eastAsia" w:ascii="仿宋_GB2312" w:hAnsi="仿宋_GB2312" w:cs="仿宋_GB2312"/>
          <w:szCs w:val="30"/>
        </w:rPr>
        <w:t>开展闽侯经济技术开发区、青口汽车工业园</w:t>
      </w:r>
      <w:r>
        <w:rPr>
          <w:szCs w:val="30"/>
        </w:rPr>
        <w:t>区等重点工业园区</w:t>
      </w:r>
      <w:r>
        <w:rPr>
          <w:rFonts w:hint="eastAsia"/>
          <w:szCs w:val="30"/>
        </w:rPr>
        <w:t>“</w:t>
      </w:r>
      <w:r>
        <w:rPr>
          <w:szCs w:val="30"/>
        </w:rPr>
        <w:t>污水零直排</w:t>
      </w:r>
      <w:r>
        <w:rPr>
          <w:rFonts w:hint="eastAsia"/>
          <w:szCs w:val="30"/>
        </w:rPr>
        <w:t>”</w:t>
      </w:r>
      <w:r>
        <w:rPr>
          <w:szCs w:val="30"/>
        </w:rPr>
        <w:t>建设，强化工业园区污染集中治理，规范设置园区集中污水处理设施排放口。原则上一个园区设置一个排污口。按照</w:t>
      </w:r>
      <w:r>
        <w:rPr>
          <w:rFonts w:hint="eastAsia"/>
          <w:szCs w:val="30"/>
        </w:rPr>
        <w:t>“</w:t>
      </w:r>
      <w:r>
        <w:rPr>
          <w:szCs w:val="30"/>
        </w:rPr>
        <w:t>适度超前</w:t>
      </w:r>
      <w:r>
        <w:rPr>
          <w:rFonts w:hint="eastAsia"/>
          <w:szCs w:val="30"/>
        </w:rPr>
        <w:t>”</w:t>
      </w:r>
      <w:r>
        <w:rPr>
          <w:szCs w:val="30"/>
        </w:rPr>
        <w:t>原则建设污水管网，确保污水全收集。</w:t>
      </w:r>
      <w:r>
        <w:rPr>
          <w:rFonts w:ascii="仿宋_GB2312" w:hAnsi="仿宋_GB2312" w:cs="仿宋_GB2312"/>
          <w:szCs w:val="30"/>
        </w:rPr>
        <w:t>到2022年底，基本实现市级以上工业园区污水全收集全处理达标排放。</w:t>
      </w:r>
      <w:bookmarkStart w:id="61" w:name="_Hlk102232082"/>
      <w:r>
        <w:rPr>
          <w:rFonts w:ascii="仿宋_GB2312" w:hAnsi="仿宋_GB2312" w:cs="仿宋_GB2312"/>
          <w:szCs w:val="30"/>
        </w:rPr>
        <w:t>2025</w:t>
      </w:r>
      <w:bookmarkEnd w:id="61"/>
      <w:r>
        <w:rPr>
          <w:rFonts w:ascii="仿宋_GB2312" w:hAnsi="仿宋_GB2312" w:cs="仿宋_GB2312"/>
          <w:szCs w:val="30"/>
        </w:rPr>
        <w:t>年底前</w:t>
      </w:r>
      <w:r>
        <w:rPr>
          <w:szCs w:val="30"/>
        </w:rPr>
        <w:t>，全面实现污水集中治理并安装自动在线监控装置</w:t>
      </w:r>
      <w:r>
        <w:rPr>
          <w:rFonts w:hint="eastAsia"/>
          <w:szCs w:val="30"/>
        </w:rPr>
        <w:t>，实现所有工业园区完成循环化改造，争取一批产业园区列入省级循环化改造试点示范</w:t>
      </w:r>
      <w:r>
        <w:rPr>
          <w:szCs w:val="30"/>
        </w:rPr>
        <w:t>。省级以上工业园区（工业聚集区）污水处理厂全面达到一级 A 排放标准。严控重点行业废水排放，严格控制缺水地区、水污染严重地区和敏感区域新建、改建、扩建重点行业建设项目，实行主要污染物排放等量或减量置换。推进造纸、印染、制革、化工、电镀等重点行业企业专项治理，重点管控新建冶金、电镀、化工、印染、原料药制造等工业企业。</w:t>
      </w:r>
    </w:p>
    <w:p w14:paraId="085F346B">
      <w:pPr>
        <w:spacing w:line="600" w:lineRule="exact"/>
        <w:ind w:firstLine="643"/>
        <w:rPr>
          <w:rFonts w:ascii="仿宋_GB2312" w:hAnsi="仿宋_GB2312" w:cs="仿宋_GB2312"/>
          <w:szCs w:val="30"/>
        </w:rPr>
      </w:pPr>
      <w:r>
        <w:rPr>
          <w:rFonts w:hint="eastAsia" w:ascii="仿宋_GB2312" w:hAnsi="仿宋_GB2312" w:cs="仿宋_GB2312"/>
          <w:b/>
          <w:szCs w:val="30"/>
        </w:rPr>
        <w:t>强化农村污水治理。</w:t>
      </w:r>
      <w:r>
        <w:rPr>
          <w:rFonts w:hint="eastAsia" w:ascii="仿宋_GB2312" w:hAnsi="仿宋_GB2312" w:cs="仿宋_GB2312"/>
          <w:szCs w:val="30"/>
        </w:rPr>
        <w:t>提升农村生活污水管网建设水平及服务范围，完善农村生活污水处理设施建设，做到“规划一座、建设一座、运行一座”的原则，加强对农村生活污水运维的监管力度，大力削减入河（湖）总氮，推广化肥减量和有机肥替代化肥，引导合理施肥，推进农田退水污染防治，持续实施农药、化肥减量增效化，加强畜禽养殖和水产养殖污染治理，加快养殖业设施升级改造，加强尾水治理、废弃物利用能力。结合生态文明建设、美丽乡村、乡村振兴工作，加强农村水污染防治宣传科普教育，加强村民垃圾不入河等水污染防控意识，建立乡、镇、村一体的水污染共同防治机制。</w:t>
      </w:r>
    </w:p>
    <w:p w14:paraId="1C21CEEF">
      <w:pPr>
        <w:spacing w:line="600" w:lineRule="exact"/>
        <w:ind w:firstLine="643"/>
        <w:rPr>
          <w:rFonts w:ascii="仿宋_GB2312" w:hAnsi="仿宋_GB2312" w:cs="仿宋_GB2312"/>
          <w:szCs w:val="30"/>
        </w:rPr>
      </w:pPr>
      <w:r>
        <w:rPr>
          <w:rFonts w:hint="eastAsia" w:ascii="仿宋_GB2312" w:hAnsi="仿宋_GB2312" w:cs="仿宋_GB2312"/>
          <w:b/>
          <w:szCs w:val="30"/>
        </w:rPr>
        <w:t>加强城镇生活污水治理。</w:t>
      </w:r>
      <w:r>
        <w:rPr>
          <w:rFonts w:hint="eastAsia" w:ascii="仿宋_GB2312" w:hAnsi="仿宋_GB2312" w:cs="仿宋_GB2312"/>
          <w:szCs w:val="30"/>
        </w:rPr>
        <w:t xml:space="preserve">落实城镇污水处理厂提质增效工作要求，加强污水处理设施的建设及维护，鼓励实施污水处理厂尾水类 </w:t>
      </w:r>
      <w:bookmarkStart w:id="62" w:name="_Hlk102232061"/>
      <w:r>
        <w:rPr>
          <w:szCs w:val="30"/>
        </w:rPr>
        <w:t>IV</w:t>
      </w:r>
      <w:bookmarkEnd w:id="62"/>
      <w:r>
        <w:rPr>
          <w:rFonts w:hint="eastAsia" w:ascii="仿宋_GB2312" w:hAnsi="仿宋_GB2312" w:cs="仿宋_GB2312"/>
          <w:szCs w:val="30"/>
        </w:rPr>
        <w:t>类提标改造并开展尾水回用。大力加强城镇生活污染治理，加强截污纳管，逐步开展雨污分流建设，以削减总氮为重点，协同开展COD、氨氮、总磷治理，加快推进人口较密集的甘蔗、荆溪、上街、祥谦、青口、尚干、南通、竹岐等乡镇污水收集管网建设，合理提升污水处理设施处理能力。</w:t>
      </w:r>
    </w:p>
    <w:p w14:paraId="01F26267">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5.巩固提升黑臭水体治理</w:t>
      </w:r>
    </w:p>
    <w:p w14:paraId="2B422245">
      <w:pPr>
        <w:spacing w:line="600" w:lineRule="exact"/>
        <w:ind w:firstLine="640"/>
        <w:rPr>
          <w:rFonts w:ascii="仿宋_GB2312" w:hAnsi="仿宋_GB2312" w:cs="仿宋_GB2312"/>
          <w:szCs w:val="30"/>
        </w:rPr>
      </w:pPr>
      <w:r>
        <w:rPr>
          <w:rFonts w:hint="eastAsia" w:ascii="仿宋_GB2312" w:hAnsi="仿宋_GB2312" w:cs="仿宋_GB2312"/>
          <w:szCs w:val="30"/>
        </w:rPr>
        <w:t>健全黑臭水体治理长效管理机制，推进建成区市政雨污分流和城乡面源污染治理，结合底泥清淤、引水活流、河岸绿化等措施，加大内河黑臭水体治理力度。加快城乡生活污水收集处理，加强河道清淤疏浚，开展河道生态治理，逐步恢复和增强河湖水系自净能力，提升内河水质达标率。力争到2022年，全面消除内河黑臭水体；到2</w:t>
      </w:r>
      <w:r>
        <w:rPr>
          <w:rFonts w:ascii="仿宋_GB2312" w:hAnsi="仿宋_GB2312" w:cs="仿宋_GB2312"/>
          <w:szCs w:val="30"/>
        </w:rPr>
        <w:t>025</w:t>
      </w:r>
      <w:r>
        <w:rPr>
          <w:rFonts w:hint="eastAsia" w:ascii="仿宋_GB2312" w:hAnsi="仿宋_GB2312" w:cs="仿宋_GB2312"/>
          <w:szCs w:val="30"/>
        </w:rPr>
        <w:t>年，基本达到“清水绿岸、鱼翔浅底”，实现水生态系统功能的初步恢复和长制久清的目标。</w:t>
      </w:r>
    </w:p>
    <w:p w14:paraId="255942C5">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6</w:t>
      </w:r>
      <w:r>
        <w:rPr>
          <w:rFonts w:ascii="黑体" w:hAnsi="黑体" w:eastAsia="黑体"/>
          <w:sz w:val="36"/>
          <w:szCs w:val="36"/>
        </w:rPr>
        <w:t>.</w:t>
      </w:r>
      <w:r>
        <w:rPr>
          <w:rFonts w:hint="eastAsia" w:ascii="黑体" w:hAnsi="黑体" w:eastAsia="黑体"/>
          <w:sz w:val="36"/>
          <w:szCs w:val="36"/>
        </w:rPr>
        <w:t>推进水生态保护修复</w:t>
      </w:r>
    </w:p>
    <w:p w14:paraId="0EF35CC4">
      <w:pPr>
        <w:spacing w:line="600" w:lineRule="exact"/>
        <w:ind w:firstLine="640"/>
        <w:jc w:val="left"/>
        <w:rPr>
          <w:rFonts w:ascii="仿宋_GB2312" w:hAnsi="仿宋_GB2312" w:cs="仿宋_GB2312"/>
          <w:szCs w:val="30"/>
        </w:rPr>
      </w:pPr>
      <w:r>
        <w:rPr>
          <w:rFonts w:hint="eastAsia" w:ascii="仿宋_GB2312" w:hAnsi="仿宋_GB2312" w:cs="仿宋_GB2312"/>
          <w:szCs w:val="30"/>
        </w:rPr>
        <w:t>依据《福建省安全生态水系建设指南》，实行最严格的岸线保护措施，进一步增强水生态安全保障。推进闽江、乌龙江、大樟溪“三江五岸”的岸线优化调整论证工作；落实全县</w:t>
      </w:r>
      <w:bookmarkStart w:id="63" w:name="_Hlk102234334"/>
      <w:r>
        <w:rPr>
          <w:rFonts w:hint="eastAsia" w:ascii="仿宋_GB2312" w:hAnsi="仿宋_GB2312" w:cs="仿宋_GB2312"/>
          <w:szCs w:val="30"/>
        </w:rPr>
        <w:t>136</w:t>
      </w:r>
      <w:bookmarkEnd w:id="63"/>
      <w:r>
        <w:rPr>
          <w:rFonts w:hint="eastAsia" w:ascii="仿宋_GB2312" w:hAnsi="仿宋_GB2312" w:cs="仿宋_GB2312"/>
          <w:szCs w:val="30"/>
        </w:rPr>
        <w:t>条河道岸线和河岸生态保护蓝线规划；巩固提高全县流域区域防洪治涝能力，加快建设福州市闽江下游南岸防洪工程，实施建设小箬乡集镇区防洪排涝工程、乌龙江大道（上街段）防洪堤；推进淘江、高州河段、荆溪河段等中小河流综合治理；开展全县河道采砂专项整治行动，打击县域范围内闽江流域和大樟溪流域以及内河违法采砂行为；进一步加强河道生态修复、河道整治工程，完成建设竹岐乡麦浦河生态补水泵站工程，</w:t>
      </w:r>
      <w:r>
        <w:rPr>
          <w:rFonts w:hint="eastAsia"/>
          <w:szCs w:val="30"/>
        </w:rPr>
        <w:t>提速甘蔗街道安平浦安全生态水系和洋里乡安全生态水系二期建设项目</w:t>
      </w:r>
      <w:r>
        <w:rPr>
          <w:rFonts w:hint="eastAsia" w:ascii="仿宋_GB2312" w:hAnsi="仿宋_GB2312" w:cs="仿宋_GB2312"/>
          <w:szCs w:val="30"/>
        </w:rPr>
        <w:t>。</w:t>
      </w:r>
    </w:p>
    <w:p w14:paraId="491FB49A">
      <w:pPr>
        <w:widowControl/>
        <w:spacing w:before="312" w:beforeLines="100" w:line="600" w:lineRule="exact"/>
        <w:ind w:firstLine="0" w:firstLineChars="0"/>
        <w:jc w:val="center"/>
        <w:rPr>
          <w:b/>
          <w:bCs/>
          <w:szCs w:val="30"/>
        </w:rPr>
      </w:pPr>
      <w:r>
        <w:rPr>
          <w:rFonts w:hint="eastAsia"/>
          <w:b/>
          <w:bCs/>
          <w:szCs w:val="30"/>
        </w:rPr>
        <w:t xml:space="preserve">专栏 </w:t>
      </w:r>
      <w:r>
        <w:rPr>
          <w:b/>
          <w:bCs/>
          <w:szCs w:val="30"/>
        </w:rPr>
        <w:t>2</w:t>
      </w:r>
      <w:r>
        <w:rPr>
          <w:rFonts w:hint="eastAsia"/>
          <w:b/>
          <w:bCs/>
          <w:szCs w:val="30"/>
        </w:rPr>
        <w:t xml:space="preserve"> “美丽河湖”重点工程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48EF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9628" w:type="dxa"/>
          </w:tcPr>
          <w:p w14:paraId="1FB6DDAE">
            <w:pPr>
              <w:spacing w:before="156" w:beforeLines="50"/>
              <w:ind w:left="641" w:firstLine="0" w:firstLineChars="0"/>
              <w:rPr>
                <w:b/>
                <w:bCs/>
                <w:sz w:val="28"/>
                <w:szCs w:val="24"/>
              </w:rPr>
            </w:pPr>
            <w:r>
              <w:rPr>
                <w:rFonts w:hint="eastAsia"/>
                <w:b/>
                <w:bCs/>
                <w:sz w:val="28"/>
                <w:szCs w:val="24"/>
              </w:rPr>
              <w:t>1.</w:t>
            </w:r>
            <w:r>
              <w:rPr>
                <w:b/>
                <w:bCs/>
                <w:sz w:val="28"/>
                <w:szCs w:val="24"/>
              </w:rPr>
              <w:t xml:space="preserve"> </w:t>
            </w:r>
            <w:r>
              <w:rPr>
                <w:rFonts w:hint="eastAsia"/>
                <w:b/>
                <w:bCs/>
                <w:sz w:val="28"/>
                <w:szCs w:val="24"/>
              </w:rPr>
              <w:t>水源地保护</w:t>
            </w:r>
          </w:p>
          <w:p w14:paraId="66752B4D">
            <w:pPr>
              <w:widowControl/>
              <w:ind w:firstLine="560"/>
              <w:jc w:val="left"/>
              <w:rPr>
                <w:sz w:val="28"/>
                <w:szCs w:val="24"/>
              </w:rPr>
            </w:pPr>
            <w:r>
              <w:rPr>
                <w:rFonts w:hint="eastAsia"/>
                <w:sz w:val="28"/>
                <w:szCs w:val="24"/>
              </w:rPr>
              <w:t>完善闽侯县境内县级以上水源保护区巡查。推动全县8个“千吨万人”和“千人以上”农村水源保护区划定、勘界立碑和环境整治。</w:t>
            </w:r>
          </w:p>
          <w:p w14:paraId="565B0B85">
            <w:pPr>
              <w:spacing w:before="78" w:beforeLines="25"/>
              <w:ind w:left="641" w:firstLine="0" w:firstLineChars="0"/>
              <w:rPr>
                <w:b/>
                <w:bCs/>
                <w:sz w:val="28"/>
                <w:szCs w:val="24"/>
              </w:rPr>
            </w:pPr>
            <w:r>
              <w:rPr>
                <w:rFonts w:hint="eastAsia"/>
                <w:b/>
                <w:bCs/>
                <w:sz w:val="28"/>
                <w:szCs w:val="24"/>
              </w:rPr>
              <w:t>2.</w:t>
            </w:r>
            <w:r>
              <w:rPr>
                <w:b/>
                <w:bCs/>
                <w:sz w:val="28"/>
                <w:szCs w:val="24"/>
              </w:rPr>
              <w:t xml:space="preserve"> </w:t>
            </w:r>
            <w:r>
              <w:rPr>
                <w:rFonts w:hint="eastAsia"/>
                <w:b/>
                <w:bCs/>
                <w:sz w:val="28"/>
                <w:szCs w:val="24"/>
              </w:rPr>
              <w:t>美丽河湖试点</w:t>
            </w:r>
          </w:p>
          <w:p w14:paraId="4D955EB3">
            <w:pPr>
              <w:pStyle w:val="2"/>
              <w:spacing w:after="0" w:afterAutospacing="0"/>
              <w:ind w:firstLine="560"/>
            </w:pPr>
            <w:r>
              <w:rPr>
                <w:rFonts w:hint="eastAsia"/>
                <w:sz w:val="28"/>
                <w:szCs w:val="24"/>
              </w:rPr>
              <w:t>大樟溪试点：以保障供水安全为重点，通过强化地区生活污染治理、实施水生态修复、加强水土保持工作，解决大樟溪口考核断面总磷不稳定达标问题。</w:t>
            </w:r>
          </w:p>
          <w:p w14:paraId="1396AA6A">
            <w:pPr>
              <w:spacing w:before="78" w:beforeLines="25"/>
              <w:ind w:left="641" w:firstLine="0" w:firstLineChars="0"/>
              <w:rPr>
                <w:b/>
                <w:bCs/>
                <w:sz w:val="28"/>
                <w:szCs w:val="24"/>
              </w:rPr>
            </w:pPr>
            <w:r>
              <w:rPr>
                <w:rFonts w:hint="eastAsia"/>
                <w:b/>
                <w:bCs/>
                <w:sz w:val="28"/>
                <w:szCs w:val="24"/>
              </w:rPr>
              <w:t>3.</w:t>
            </w:r>
            <w:r>
              <w:rPr>
                <w:b/>
                <w:bCs/>
                <w:sz w:val="28"/>
                <w:szCs w:val="24"/>
              </w:rPr>
              <w:t xml:space="preserve"> </w:t>
            </w:r>
            <w:r>
              <w:rPr>
                <w:rFonts w:hint="eastAsia"/>
                <w:b/>
                <w:bCs/>
                <w:sz w:val="28"/>
                <w:szCs w:val="24"/>
              </w:rPr>
              <w:t>流域安全生态水系建设</w:t>
            </w:r>
          </w:p>
          <w:p w14:paraId="661641B2">
            <w:pPr>
              <w:ind w:firstLine="560"/>
              <w:jc w:val="left"/>
              <w:rPr>
                <w:sz w:val="28"/>
                <w:szCs w:val="24"/>
              </w:rPr>
            </w:pPr>
            <w:r>
              <w:rPr>
                <w:rFonts w:hint="eastAsia"/>
                <w:sz w:val="28"/>
                <w:szCs w:val="24"/>
              </w:rPr>
              <w:t>依据《福建省安全生态水系建设指南》，实施闽侯县安全生态水系建设工程。开展生态水利工程，将生态环境保护修复工程与防洪排涝、生态补水、蓄引调水、河道整治等水利工程协同落实。实施闽江防洪工程四期项目、浦里排涝站项目、东南汽车城小流域综合治理工程、青圃片区高水高排及青林村漳南溪治理工程、青口镇河道整治工程、祥谦镇小流域综合治理工程、乌龙江（祥谦段）沿岸生态修复提升工程、南通镇洋中溪生态综合整治项目、荆溪片区防洪排涝工程、桐口溪整治工程、安平浦综合治理项目、上寨溪和林柄溪护岸生态修复项目等小流域生态修复项目。</w:t>
            </w:r>
          </w:p>
          <w:p w14:paraId="141C759E">
            <w:pPr>
              <w:spacing w:before="78" w:beforeLines="25"/>
              <w:ind w:left="641" w:firstLine="0" w:firstLineChars="0"/>
              <w:rPr>
                <w:b/>
                <w:bCs/>
                <w:sz w:val="28"/>
                <w:szCs w:val="24"/>
              </w:rPr>
            </w:pPr>
            <w:r>
              <w:rPr>
                <w:rFonts w:hint="eastAsia"/>
                <w:b/>
                <w:bCs/>
                <w:sz w:val="28"/>
                <w:szCs w:val="24"/>
              </w:rPr>
              <w:t>4.</w:t>
            </w:r>
            <w:r>
              <w:rPr>
                <w:b/>
                <w:bCs/>
                <w:sz w:val="28"/>
                <w:szCs w:val="24"/>
              </w:rPr>
              <w:t xml:space="preserve"> </w:t>
            </w:r>
            <w:r>
              <w:rPr>
                <w:rFonts w:hint="eastAsia"/>
                <w:b/>
                <w:bCs/>
                <w:sz w:val="28"/>
                <w:szCs w:val="24"/>
              </w:rPr>
              <w:t>水资源保障</w:t>
            </w:r>
          </w:p>
          <w:p w14:paraId="353D5805">
            <w:pPr>
              <w:pStyle w:val="2"/>
              <w:spacing w:after="156" w:afterLines="50" w:afterAutospacing="0"/>
              <w:ind w:firstLine="560"/>
            </w:pPr>
            <w:r>
              <w:rPr>
                <w:rFonts w:hint="eastAsia"/>
                <w:sz w:val="28"/>
                <w:szCs w:val="13"/>
              </w:rPr>
              <w:t>加快推进闽侯东南汽车城自来水厂项目、城关污水厂应急扩建工程、白沙污水厂及其附属配套设施项目、小箬乡集镇区污水处理站项目建设。</w:t>
            </w:r>
          </w:p>
        </w:tc>
      </w:tr>
    </w:tbl>
    <w:p w14:paraId="6FFABCAF">
      <w:pPr>
        <w:pStyle w:val="7"/>
        <w:spacing w:line="600" w:lineRule="exact"/>
        <w:ind w:firstLine="0" w:firstLineChars="0"/>
        <w:rPr>
          <w:rFonts w:ascii="黑体" w:hAnsi="黑体" w:eastAsia="黑体" w:cs="Times New Roman"/>
          <w:bCs w:val="0"/>
          <w:sz w:val="40"/>
          <w:szCs w:val="40"/>
        </w:rPr>
      </w:pPr>
      <w:bookmarkStart w:id="64" w:name="_Toc103937267"/>
      <w:bookmarkStart w:id="65" w:name="_Toc103937009"/>
      <w:r>
        <w:rPr>
          <w:rFonts w:hint="eastAsia" w:ascii="黑体" w:hAnsi="黑体" w:eastAsia="黑体" w:cs="Times New Roman"/>
          <w:bCs w:val="0"/>
          <w:sz w:val="40"/>
          <w:szCs w:val="40"/>
        </w:rPr>
        <w:t>（四）加强修复防控，保障土壤及地下水安全</w:t>
      </w:r>
      <w:bookmarkEnd w:id="64"/>
      <w:bookmarkEnd w:id="65"/>
    </w:p>
    <w:p w14:paraId="7C13865E">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w:t>
      </w:r>
      <w:r>
        <w:rPr>
          <w:rFonts w:ascii="黑体" w:hAnsi="黑体" w:eastAsia="黑体"/>
          <w:sz w:val="36"/>
          <w:szCs w:val="36"/>
        </w:rPr>
        <w:t>.</w:t>
      </w:r>
      <w:r>
        <w:rPr>
          <w:rFonts w:hint="eastAsia" w:ascii="黑体" w:hAnsi="黑体" w:eastAsia="黑体"/>
          <w:sz w:val="36"/>
          <w:szCs w:val="36"/>
        </w:rPr>
        <w:t>加强农用地保护与安全利用</w:t>
      </w:r>
    </w:p>
    <w:p w14:paraId="40A9E51E">
      <w:pPr>
        <w:spacing w:line="600" w:lineRule="exact"/>
        <w:ind w:firstLine="640"/>
        <w:rPr>
          <w:rFonts w:ascii="仿宋_GB2312" w:hAnsi="仿宋_GB2312" w:cs="仿宋_GB2312"/>
          <w:szCs w:val="30"/>
        </w:rPr>
      </w:pPr>
      <w:r>
        <w:rPr>
          <w:rFonts w:hint="eastAsia" w:ascii="仿宋_GB2312" w:hAnsi="仿宋_GB2312" w:cs="仿宋_GB2312"/>
          <w:szCs w:val="30"/>
        </w:rPr>
        <w:t>在农用地土壤污染状况详查的基础上，开展农用地土壤环境质量类别划分，推进受污染耕地安全利用与治理修复。优先保护类耕地划为永久基本农田并实行严格保护，确保其面积不减少、土壤环境质量不下降；积极推进受污染耕地安全利用，结合主要作物品种和种植习惯，采取施用改良剂、翻耕、种植绿肥、替代种植等措施，降低农产品超标风险；严格管控类耕地用途管理，制定严格管控类耕地和园地的用途清单，实施种植结构调整或退耕还林还草计划，严禁在重度污染耕地种植食用农产品。</w:t>
      </w:r>
    </w:p>
    <w:p w14:paraId="546034A7">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w:t>
      </w:r>
      <w:r>
        <w:rPr>
          <w:rFonts w:ascii="黑体" w:hAnsi="黑体" w:eastAsia="黑体"/>
          <w:sz w:val="36"/>
          <w:szCs w:val="36"/>
        </w:rPr>
        <w:t>.</w:t>
      </w:r>
      <w:r>
        <w:rPr>
          <w:rFonts w:hint="eastAsia" w:ascii="黑体" w:hAnsi="黑体" w:eastAsia="黑体"/>
          <w:sz w:val="36"/>
          <w:szCs w:val="36"/>
        </w:rPr>
        <w:t>严格建设用地环境风险防控</w:t>
      </w:r>
    </w:p>
    <w:p w14:paraId="57078FD0">
      <w:pPr>
        <w:spacing w:line="600" w:lineRule="exact"/>
        <w:ind w:firstLine="640"/>
        <w:rPr>
          <w:rFonts w:ascii="仿宋_GB2312" w:hAnsi="仿宋_GB2312" w:cs="仿宋_GB2312"/>
          <w:szCs w:val="30"/>
        </w:rPr>
      </w:pPr>
      <w:r>
        <w:rPr>
          <w:rFonts w:hint="eastAsia" w:ascii="仿宋_GB2312" w:hAnsi="仿宋_GB2312" w:cs="仿宋_GB2312"/>
          <w:szCs w:val="30"/>
        </w:rPr>
        <w:t>全面落实建设用地土壤环境状况调查评估及污染地块开发利用制度，对污染地块实行动态化管理，建立建设用地土壤污染风险管控和修复名录，列入负面清单，对未完成治理修复的地块不得作为住宅、公共管理与公共服务用地。严格控制用地准入，规范污染地块开发利用过程管理，建立健全生态环境、工信、资规等多部门的信息联动和监管机制，将建设用地土壤环境管理要求纳入用地规划和供地管理，强化暂不开发污染地块的风险管控，严管土壤污染重点行业企业搬迁改造过程中拆除活动。</w:t>
      </w:r>
    </w:p>
    <w:p w14:paraId="683A28A6">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w:t>
      </w:r>
      <w:r>
        <w:rPr>
          <w:rFonts w:ascii="黑体" w:hAnsi="黑体" w:eastAsia="黑体"/>
          <w:sz w:val="36"/>
          <w:szCs w:val="36"/>
        </w:rPr>
        <w:t>.</w:t>
      </w:r>
      <w:r>
        <w:rPr>
          <w:rFonts w:hint="eastAsia" w:ascii="黑体" w:hAnsi="黑体" w:eastAsia="黑体"/>
          <w:sz w:val="36"/>
          <w:szCs w:val="36"/>
        </w:rPr>
        <w:t>强化未污染土壤保护</w:t>
      </w:r>
    </w:p>
    <w:p w14:paraId="3DC001EB">
      <w:pPr>
        <w:spacing w:line="600" w:lineRule="exact"/>
        <w:ind w:firstLine="640"/>
        <w:rPr>
          <w:rFonts w:ascii="仿宋_GB2312" w:hAnsi="仿宋_GB2312" w:cs="仿宋_GB2312"/>
          <w:szCs w:val="30"/>
        </w:rPr>
      </w:pPr>
      <w:r>
        <w:rPr>
          <w:rFonts w:hint="eastAsia" w:ascii="仿宋_GB2312" w:hAnsi="仿宋_GB2312" w:cs="仿宋_GB2312"/>
          <w:szCs w:val="30"/>
        </w:rPr>
        <w:t>严守生态保护红线，在红线区域实施最严格的土地用途管制和产业退出制度。产业园区和重点行业企业布局应严格遵循主体功能区规划和生态保护红线，实行规划环评与建设项目环评联动机制，建立产业园区重点行业环境准入清单。落实城镇总体规划、土地利用规则中城乡建设用地的土地用途管制。加强规划园区和建设项目布局选址论证。</w:t>
      </w:r>
    </w:p>
    <w:p w14:paraId="03B3F0BE">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w:t>
      </w:r>
      <w:r>
        <w:rPr>
          <w:rFonts w:ascii="黑体" w:hAnsi="黑体" w:eastAsia="黑体"/>
          <w:sz w:val="36"/>
          <w:szCs w:val="36"/>
        </w:rPr>
        <w:t>.</w:t>
      </w:r>
      <w:r>
        <w:rPr>
          <w:rFonts w:hint="eastAsia" w:ascii="黑体" w:hAnsi="黑体" w:eastAsia="黑体"/>
          <w:sz w:val="36"/>
          <w:szCs w:val="36"/>
        </w:rPr>
        <w:t>健全土壤环境监管体系</w:t>
      </w:r>
    </w:p>
    <w:p w14:paraId="27373760">
      <w:pPr>
        <w:spacing w:line="600" w:lineRule="exact"/>
        <w:ind w:firstLine="640"/>
        <w:jc w:val="left"/>
        <w:rPr>
          <w:szCs w:val="30"/>
        </w:rPr>
      </w:pPr>
      <w:r>
        <w:rPr>
          <w:rFonts w:hint="eastAsia" w:ascii="仿宋_GB2312" w:hAnsi="仿宋_GB2312" w:cs="仿宋_GB2312"/>
          <w:szCs w:val="30"/>
        </w:rPr>
        <w:t>建立土壤环境例行监测制度，主要农产品产区、污水灌溉区等敏感区域设立土壤环境质量监测点位，重点监管行业企业应定期开展土壤环境监测。</w:t>
      </w:r>
      <w:r>
        <w:rPr>
          <w:szCs w:val="30"/>
        </w:rPr>
        <w:t>借助生态云平台，整合土壤污染状况详查、土壤环境质量例行监测、以及国土、农业、林业、建设等部门的相关资源，提高土壤环境信息化管理水平。推进闽侯县土壤环境保护方案编制，对农用地实施相应管控措施，保障农产品产地环境安全。加快推进闽侯卜洲电镀厂、</w:t>
      </w:r>
      <w:r>
        <w:rPr>
          <w:rFonts w:hint="eastAsia"/>
          <w:szCs w:val="30"/>
        </w:rPr>
        <w:t xml:space="preserve">福建省固体废物处置有限公司 </w:t>
      </w:r>
      <w:r>
        <w:rPr>
          <w:rFonts w:ascii="仿宋_GB2312" w:hAnsi="仿宋_GB2312" w:cs="仿宋_GB2312"/>
          <w:szCs w:val="30"/>
        </w:rPr>
        <w:t>2</w:t>
      </w:r>
      <w:r>
        <w:rPr>
          <w:rFonts w:hint="eastAsia"/>
          <w:szCs w:val="30"/>
        </w:rPr>
        <w:t xml:space="preserve"> </w:t>
      </w:r>
      <w:r>
        <w:rPr>
          <w:szCs w:val="30"/>
        </w:rPr>
        <w:t>块</w:t>
      </w:r>
      <w:r>
        <w:rPr>
          <w:rFonts w:hint="eastAsia"/>
          <w:szCs w:val="30"/>
        </w:rPr>
        <w:t>污染超标</w:t>
      </w:r>
      <w:r>
        <w:rPr>
          <w:szCs w:val="30"/>
        </w:rPr>
        <w:t>地块</w:t>
      </w:r>
      <w:r>
        <w:rPr>
          <w:rFonts w:hint="eastAsia"/>
          <w:szCs w:val="30"/>
        </w:rPr>
        <w:t>的土壤和地下水详细调查与修复治理，参照落实“三防三监控”管控措施，防止二次污染。</w:t>
      </w:r>
    </w:p>
    <w:p w14:paraId="3BCD8D52">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5</w:t>
      </w:r>
      <w:r>
        <w:rPr>
          <w:rFonts w:ascii="黑体" w:hAnsi="黑体" w:eastAsia="黑体"/>
          <w:sz w:val="36"/>
          <w:szCs w:val="36"/>
        </w:rPr>
        <w:t>.</w:t>
      </w:r>
      <w:r>
        <w:rPr>
          <w:rFonts w:hint="eastAsia" w:ascii="黑体" w:hAnsi="黑体" w:eastAsia="黑体"/>
          <w:sz w:val="36"/>
          <w:szCs w:val="36"/>
        </w:rPr>
        <w:t>强化地下水生态环境监管</w:t>
      </w:r>
    </w:p>
    <w:p w14:paraId="11BB34F6">
      <w:pPr>
        <w:spacing w:line="600" w:lineRule="exact"/>
        <w:ind w:firstLine="640"/>
        <w:rPr>
          <w:rFonts w:ascii="仿宋_GB2312" w:hAnsi="仿宋_GB2312" w:cs="仿宋_GB2312"/>
          <w:szCs w:val="30"/>
        </w:rPr>
      </w:pPr>
      <w:r>
        <w:rPr>
          <w:rFonts w:hint="eastAsia" w:ascii="仿宋_GB2312" w:hAnsi="仿宋_GB2312" w:cs="仿宋_GB2312"/>
          <w:szCs w:val="30"/>
        </w:rPr>
        <w:t>针对高风险的化学品生产企业以及工业集聚区、矿山开采区、尾矿库、垃圾填埋场和危险废物处置场等开展场地及周边地下水基础环境状况调查，公布地下水污染场地清单。按照福州市生态环境局统一计划和要求，开展防渗改造试点区、封井回填试点区评估和改造工作。整合地下水基础环境状况调查评估监测井、土壤污染状况详查监测井、建设项目环评要求设置的地下水污染跟踪监测井，加快构建地下水环境监测网，统筹地表水、土壤、地下水污染协同防治。</w:t>
      </w:r>
    </w:p>
    <w:p w14:paraId="6FC2EBE4">
      <w:pPr>
        <w:widowControl/>
        <w:spacing w:before="312" w:beforeLines="100" w:line="600" w:lineRule="exact"/>
        <w:ind w:firstLine="0" w:firstLineChars="0"/>
        <w:jc w:val="center"/>
        <w:rPr>
          <w:b/>
          <w:bCs/>
          <w:szCs w:val="30"/>
        </w:rPr>
      </w:pPr>
      <w:r>
        <w:rPr>
          <w:rFonts w:hint="eastAsia"/>
          <w:b/>
          <w:bCs/>
          <w:szCs w:val="30"/>
        </w:rPr>
        <w:t xml:space="preserve">专栏 </w:t>
      </w:r>
      <w:r>
        <w:rPr>
          <w:b/>
          <w:bCs/>
          <w:szCs w:val="30"/>
        </w:rPr>
        <w:t>3</w:t>
      </w:r>
      <w:r>
        <w:rPr>
          <w:rFonts w:hint="eastAsia"/>
          <w:b/>
          <w:bCs/>
          <w:szCs w:val="30"/>
        </w:rPr>
        <w:t xml:space="preserve"> </w:t>
      </w:r>
      <w:r>
        <w:rPr>
          <w:b/>
          <w:bCs/>
          <w:szCs w:val="30"/>
        </w:rPr>
        <w:t xml:space="preserve"> </w:t>
      </w:r>
      <w:r>
        <w:rPr>
          <w:rFonts w:hint="eastAsia"/>
          <w:b/>
          <w:bCs/>
          <w:szCs w:val="30"/>
        </w:rPr>
        <w:t>土壤安全重点工程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5"/>
      </w:tblGrid>
      <w:tr w14:paraId="5040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9265" w:type="dxa"/>
          </w:tcPr>
          <w:p w14:paraId="4C4E16FE">
            <w:pPr>
              <w:spacing w:before="156" w:beforeLines="50"/>
              <w:ind w:left="641" w:firstLine="0" w:firstLineChars="0"/>
              <w:rPr>
                <w:b/>
                <w:bCs/>
                <w:sz w:val="28"/>
                <w:szCs w:val="24"/>
              </w:rPr>
            </w:pPr>
            <w:r>
              <w:rPr>
                <w:rFonts w:hint="eastAsia"/>
                <w:b/>
                <w:bCs/>
                <w:sz w:val="28"/>
                <w:szCs w:val="24"/>
              </w:rPr>
              <w:t>1.</w:t>
            </w:r>
            <w:r>
              <w:rPr>
                <w:b/>
                <w:bCs/>
                <w:sz w:val="28"/>
                <w:szCs w:val="24"/>
              </w:rPr>
              <w:t xml:space="preserve"> </w:t>
            </w:r>
            <w:r>
              <w:rPr>
                <w:rFonts w:hint="eastAsia"/>
                <w:b/>
                <w:bCs/>
                <w:sz w:val="28"/>
                <w:szCs w:val="24"/>
              </w:rPr>
              <w:t xml:space="preserve">建设用地土壤污染调查、风险评估 </w:t>
            </w:r>
          </w:p>
          <w:p w14:paraId="4FC5F113">
            <w:pPr>
              <w:widowControl/>
              <w:ind w:firstLine="560"/>
              <w:jc w:val="left"/>
              <w:rPr>
                <w:sz w:val="28"/>
                <w:szCs w:val="24"/>
              </w:rPr>
            </w:pPr>
            <w:r>
              <w:rPr>
                <w:rFonts w:hint="eastAsia"/>
                <w:sz w:val="28"/>
                <w:szCs w:val="24"/>
              </w:rPr>
              <w:t>以用途变更为住宅、公共管理与公共服务用地的地块，以及腾退工矿企业用地为重点，依法开展土壤污染状况调查和风险评估。</w:t>
            </w:r>
          </w:p>
          <w:p w14:paraId="493DAE06">
            <w:pPr>
              <w:spacing w:before="156" w:beforeLines="50"/>
              <w:ind w:left="641" w:firstLine="0" w:firstLineChars="0"/>
              <w:rPr>
                <w:b/>
                <w:bCs/>
                <w:sz w:val="28"/>
                <w:szCs w:val="24"/>
              </w:rPr>
            </w:pPr>
            <w:r>
              <w:rPr>
                <w:rFonts w:hint="eastAsia"/>
                <w:b/>
                <w:bCs/>
                <w:sz w:val="28"/>
                <w:szCs w:val="24"/>
              </w:rPr>
              <w:t>2.</w:t>
            </w:r>
            <w:r>
              <w:rPr>
                <w:b/>
                <w:bCs/>
                <w:sz w:val="28"/>
                <w:szCs w:val="24"/>
              </w:rPr>
              <w:t xml:space="preserve"> </w:t>
            </w:r>
            <w:r>
              <w:rPr>
                <w:rFonts w:hint="eastAsia"/>
                <w:b/>
                <w:bCs/>
                <w:sz w:val="28"/>
                <w:szCs w:val="24"/>
              </w:rPr>
              <w:t xml:space="preserve">污染地块风险管控和修复 </w:t>
            </w:r>
          </w:p>
          <w:p w14:paraId="5747F62A">
            <w:pPr>
              <w:widowControl/>
              <w:ind w:firstLine="560"/>
              <w:jc w:val="left"/>
              <w:rPr>
                <w:sz w:val="28"/>
                <w:szCs w:val="24"/>
              </w:rPr>
            </w:pPr>
            <w:r>
              <w:rPr>
                <w:rFonts w:hint="eastAsia"/>
                <w:sz w:val="28"/>
                <w:szCs w:val="24"/>
              </w:rPr>
              <w:t>对闽侯县卜洲电镀厂、福建省固体废物处置有限公司两个初步调查为超标地块进行进一步详查，对确认的污染地块开展风险管控和修复。</w:t>
            </w:r>
          </w:p>
          <w:p w14:paraId="51351BCE">
            <w:pPr>
              <w:spacing w:before="156" w:beforeLines="50"/>
              <w:ind w:left="641" w:firstLine="0" w:firstLineChars="0"/>
              <w:rPr>
                <w:b/>
                <w:bCs/>
                <w:sz w:val="28"/>
                <w:szCs w:val="24"/>
              </w:rPr>
            </w:pPr>
            <w:r>
              <w:rPr>
                <w:rFonts w:hint="eastAsia"/>
                <w:b/>
                <w:bCs/>
                <w:sz w:val="28"/>
                <w:szCs w:val="24"/>
              </w:rPr>
              <w:t>3.</w:t>
            </w:r>
            <w:r>
              <w:rPr>
                <w:b/>
                <w:bCs/>
                <w:sz w:val="28"/>
                <w:szCs w:val="24"/>
              </w:rPr>
              <w:t xml:space="preserve"> </w:t>
            </w:r>
            <w:r>
              <w:rPr>
                <w:rFonts w:hint="eastAsia"/>
                <w:b/>
                <w:bCs/>
                <w:sz w:val="28"/>
                <w:szCs w:val="24"/>
              </w:rPr>
              <w:t xml:space="preserve">土壤污染重点监管单位监测 </w:t>
            </w:r>
          </w:p>
          <w:p w14:paraId="714157FE">
            <w:pPr>
              <w:pStyle w:val="2"/>
              <w:spacing w:after="0" w:afterAutospacing="0"/>
              <w:ind w:firstLine="560"/>
              <w:rPr>
                <w:sz w:val="28"/>
                <w:szCs w:val="24"/>
              </w:rPr>
            </w:pPr>
            <w:r>
              <w:rPr>
                <w:rFonts w:hint="eastAsia"/>
                <w:sz w:val="28"/>
                <w:szCs w:val="24"/>
              </w:rPr>
              <w:t>土壤污染重点监管单自主监测：省、市两级土壤污染重点监管单位每年按照土壤污染防治法要求，落实有毒有害物质排放情况报告、土壤污染隐患排查和整改以及自行监测。</w:t>
            </w:r>
          </w:p>
          <w:p w14:paraId="5FBF366E">
            <w:pPr>
              <w:ind w:firstLine="560"/>
              <w:jc w:val="left"/>
              <w:rPr>
                <w:sz w:val="28"/>
                <w:szCs w:val="24"/>
              </w:rPr>
            </w:pPr>
            <w:r>
              <w:rPr>
                <w:rFonts w:hint="eastAsia"/>
                <w:sz w:val="28"/>
                <w:szCs w:val="24"/>
              </w:rPr>
              <w:t xml:space="preserve">土壤污染重点监管单位周边土壤监测：每 3 年对重点监管企业周边区域、污水集中处理设施、固体废物处置设施周边土壤开展 1 次土壤环境监测。 </w:t>
            </w:r>
          </w:p>
          <w:p w14:paraId="6298FFFC">
            <w:pPr>
              <w:spacing w:before="156" w:beforeLines="50"/>
              <w:ind w:left="641" w:firstLine="0" w:firstLineChars="0"/>
              <w:rPr>
                <w:b/>
                <w:bCs/>
                <w:sz w:val="28"/>
                <w:szCs w:val="24"/>
              </w:rPr>
            </w:pPr>
            <w:r>
              <w:rPr>
                <w:rFonts w:hint="eastAsia"/>
                <w:b/>
                <w:bCs/>
                <w:sz w:val="28"/>
                <w:szCs w:val="24"/>
              </w:rPr>
              <w:t>4.</w:t>
            </w:r>
            <w:r>
              <w:rPr>
                <w:b/>
                <w:bCs/>
                <w:sz w:val="28"/>
                <w:szCs w:val="24"/>
              </w:rPr>
              <w:t xml:space="preserve"> </w:t>
            </w:r>
            <w:r>
              <w:rPr>
                <w:rFonts w:hint="eastAsia"/>
                <w:b/>
                <w:bCs/>
                <w:sz w:val="28"/>
                <w:szCs w:val="24"/>
              </w:rPr>
              <w:t xml:space="preserve">土壤环境先行调查试点 </w:t>
            </w:r>
          </w:p>
          <w:p w14:paraId="268F3ACA">
            <w:pPr>
              <w:widowControl/>
              <w:ind w:firstLine="560"/>
              <w:jc w:val="left"/>
              <w:rPr>
                <w:sz w:val="28"/>
                <w:szCs w:val="24"/>
              </w:rPr>
            </w:pPr>
            <w:r>
              <w:rPr>
                <w:rFonts w:hint="eastAsia"/>
                <w:sz w:val="28"/>
                <w:szCs w:val="24"/>
              </w:rPr>
              <w:t>依据省要求在开发用地集中区域开展用地土壤环境先行调查试点，探索“环境修复+开发建设”模式。</w:t>
            </w:r>
          </w:p>
          <w:p w14:paraId="552AEB5A">
            <w:pPr>
              <w:spacing w:before="156" w:beforeLines="50"/>
              <w:ind w:left="641" w:firstLine="0" w:firstLineChars="0"/>
              <w:rPr>
                <w:b/>
                <w:bCs/>
                <w:sz w:val="28"/>
                <w:szCs w:val="24"/>
              </w:rPr>
            </w:pPr>
            <w:r>
              <w:rPr>
                <w:rFonts w:hint="eastAsia"/>
                <w:b/>
                <w:bCs/>
                <w:sz w:val="28"/>
                <w:szCs w:val="24"/>
              </w:rPr>
              <w:t>5.</w:t>
            </w:r>
            <w:r>
              <w:rPr>
                <w:b/>
                <w:bCs/>
                <w:sz w:val="28"/>
                <w:szCs w:val="24"/>
              </w:rPr>
              <w:t xml:space="preserve"> </w:t>
            </w:r>
            <w:r>
              <w:rPr>
                <w:rFonts w:hint="eastAsia"/>
                <w:b/>
                <w:bCs/>
                <w:sz w:val="28"/>
                <w:szCs w:val="24"/>
              </w:rPr>
              <w:t>耕地安全及高标农田建设</w:t>
            </w:r>
          </w:p>
          <w:p w14:paraId="51C5086E">
            <w:pPr>
              <w:widowControl/>
              <w:spacing w:after="312" w:afterLines="100"/>
              <w:ind w:firstLine="560"/>
              <w:jc w:val="left"/>
            </w:pPr>
            <w:r>
              <w:rPr>
                <w:rFonts w:hint="eastAsia"/>
                <w:sz w:val="28"/>
                <w:szCs w:val="24"/>
              </w:rPr>
              <w:t>加强耕地安全建设，继续实施农药化肥减量化行动，推进大湖乡高标准农田建设。</w:t>
            </w:r>
          </w:p>
        </w:tc>
      </w:tr>
    </w:tbl>
    <w:p w14:paraId="1160F5E7">
      <w:pPr>
        <w:pStyle w:val="7"/>
        <w:spacing w:line="600" w:lineRule="exact"/>
        <w:ind w:firstLine="0" w:firstLineChars="0"/>
        <w:rPr>
          <w:rFonts w:ascii="黑体" w:hAnsi="黑体" w:eastAsia="黑体" w:cs="Times New Roman"/>
          <w:bCs w:val="0"/>
          <w:sz w:val="40"/>
          <w:szCs w:val="40"/>
        </w:rPr>
      </w:pPr>
      <w:bookmarkStart w:id="66" w:name="_Toc72148490"/>
      <w:bookmarkStart w:id="67" w:name="_Toc72246627"/>
      <w:bookmarkStart w:id="68" w:name="_Toc61785976"/>
      <w:bookmarkStart w:id="69" w:name="_Toc103937268"/>
      <w:bookmarkStart w:id="70" w:name="_Toc103937010"/>
      <w:r>
        <w:rPr>
          <w:rFonts w:hint="eastAsia" w:ascii="黑体" w:hAnsi="黑体" w:eastAsia="黑体" w:cs="Times New Roman"/>
          <w:bCs w:val="0"/>
          <w:sz w:val="40"/>
          <w:szCs w:val="40"/>
        </w:rPr>
        <w:t>（五）加强源头控制，</w:t>
      </w:r>
      <w:bookmarkEnd w:id="66"/>
      <w:bookmarkEnd w:id="67"/>
      <w:bookmarkEnd w:id="68"/>
      <w:r>
        <w:rPr>
          <w:rFonts w:hint="eastAsia" w:ascii="黑体" w:hAnsi="黑体" w:eastAsia="黑体" w:cs="Times New Roman"/>
          <w:bCs w:val="0"/>
          <w:sz w:val="40"/>
          <w:szCs w:val="40"/>
        </w:rPr>
        <w:t>推进噪声污染分类防治</w:t>
      </w:r>
      <w:bookmarkEnd w:id="69"/>
      <w:bookmarkEnd w:id="70"/>
    </w:p>
    <w:p w14:paraId="64EF79E8">
      <w:pPr>
        <w:pStyle w:val="8"/>
        <w:spacing w:before="240" w:after="240" w:line="600" w:lineRule="exact"/>
        <w:ind w:firstLine="567" w:firstLineChars="157"/>
        <w:rPr>
          <w:rFonts w:ascii="黑体" w:hAnsi="黑体" w:eastAsia="黑体"/>
          <w:sz w:val="36"/>
          <w:szCs w:val="36"/>
        </w:rPr>
      </w:pPr>
      <w:bookmarkStart w:id="71" w:name="_Toc61785977"/>
      <w:r>
        <w:rPr>
          <w:rFonts w:ascii="黑体" w:hAnsi="黑体" w:eastAsia="黑体"/>
          <w:sz w:val="36"/>
          <w:szCs w:val="36"/>
        </w:rPr>
        <w:t>1.</w:t>
      </w:r>
      <w:r>
        <w:rPr>
          <w:rFonts w:hint="eastAsia" w:ascii="黑体" w:hAnsi="黑体" w:eastAsia="黑体"/>
          <w:sz w:val="36"/>
          <w:szCs w:val="36"/>
        </w:rPr>
        <w:t>推进交通噪声污染</w:t>
      </w:r>
      <w:bookmarkEnd w:id="71"/>
      <w:r>
        <w:rPr>
          <w:rFonts w:hint="eastAsia" w:ascii="黑体" w:hAnsi="黑体" w:eastAsia="黑体"/>
          <w:sz w:val="36"/>
          <w:szCs w:val="36"/>
        </w:rPr>
        <w:t>防治</w:t>
      </w:r>
    </w:p>
    <w:p w14:paraId="05631A1F">
      <w:pPr>
        <w:spacing w:line="600" w:lineRule="exact"/>
        <w:ind w:firstLine="640"/>
        <w:rPr>
          <w:bCs/>
          <w:szCs w:val="30"/>
        </w:rPr>
      </w:pPr>
      <w:r>
        <w:rPr>
          <w:rFonts w:hint="eastAsia"/>
          <w:szCs w:val="30"/>
        </w:rPr>
        <w:t>统筹规划城乡公交、通景公交、环线公交，</w:t>
      </w:r>
      <w:r>
        <w:rPr>
          <w:rFonts w:hint="eastAsia"/>
          <w:bCs/>
          <w:szCs w:val="30"/>
        </w:rPr>
        <w:t>使城市发展、道路建设、交通容量、机动车增长速度保持平衡，合理划定建筑物与交通干线的噪声防护距离，加强对主要公路主干道和辅道两侧绿化隔离缓冲带的建设，使用机动车音响器材，应当控制音量，防止或减轻交通噪声环境污染，加大重点路段噪声检测体系建设，确保闽侯县域建成区环境噪声达标区覆盖率达</w:t>
      </w:r>
      <w:bookmarkStart w:id="72" w:name="_Hlk102234390"/>
      <w:r>
        <w:rPr>
          <w:rFonts w:hint="eastAsia" w:ascii="仿宋_GB2312" w:hAnsi="仿宋_GB2312" w:cs="仿宋_GB2312"/>
          <w:szCs w:val="30"/>
        </w:rPr>
        <w:t>1</w:t>
      </w:r>
      <w:r>
        <w:rPr>
          <w:rFonts w:ascii="仿宋_GB2312" w:hAnsi="仿宋_GB2312" w:cs="仿宋_GB2312"/>
          <w:szCs w:val="30"/>
        </w:rPr>
        <w:t>00%</w:t>
      </w:r>
      <w:bookmarkEnd w:id="72"/>
      <w:r>
        <w:rPr>
          <w:rFonts w:hint="eastAsia"/>
          <w:bCs/>
          <w:szCs w:val="30"/>
        </w:rPr>
        <w:t>。</w:t>
      </w:r>
    </w:p>
    <w:p w14:paraId="1ADC8B3D">
      <w:pPr>
        <w:pStyle w:val="8"/>
        <w:keepNext w:val="0"/>
        <w:keepLines w:val="0"/>
        <w:spacing w:before="240" w:after="240" w:line="600" w:lineRule="exact"/>
        <w:ind w:firstLine="567" w:firstLineChars="157"/>
        <w:rPr>
          <w:rFonts w:ascii="黑体" w:hAnsi="黑体" w:eastAsia="黑体"/>
          <w:sz w:val="36"/>
          <w:szCs w:val="36"/>
        </w:rPr>
      </w:pPr>
      <w:bookmarkStart w:id="73" w:name="_Toc61785978"/>
      <w:r>
        <w:rPr>
          <w:rFonts w:ascii="黑体" w:hAnsi="黑体" w:eastAsia="黑体"/>
          <w:sz w:val="36"/>
          <w:szCs w:val="36"/>
        </w:rPr>
        <w:t>2.</w:t>
      </w:r>
      <w:r>
        <w:rPr>
          <w:rFonts w:hint="eastAsia" w:ascii="黑体" w:hAnsi="黑体" w:eastAsia="黑体"/>
          <w:sz w:val="36"/>
          <w:szCs w:val="36"/>
        </w:rPr>
        <w:t>强化工业企业噪声污染</w:t>
      </w:r>
      <w:bookmarkEnd w:id="73"/>
      <w:r>
        <w:rPr>
          <w:rFonts w:hint="eastAsia" w:ascii="黑体" w:hAnsi="黑体" w:eastAsia="黑体"/>
          <w:sz w:val="36"/>
          <w:szCs w:val="36"/>
        </w:rPr>
        <w:t>控制</w:t>
      </w:r>
    </w:p>
    <w:p w14:paraId="5EB8A253">
      <w:pPr>
        <w:spacing w:line="600" w:lineRule="exact"/>
        <w:ind w:firstLine="640"/>
        <w:rPr>
          <w:bCs/>
          <w:szCs w:val="30"/>
        </w:rPr>
      </w:pPr>
      <w:r>
        <w:rPr>
          <w:rFonts w:hint="eastAsia"/>
          <w:bCs/>
          <w:szCs w:val="30"/>
        </w:rPr>
        <w:t>排放工业噪声的单位，应当采取有效措施减少振动、降低噪声，加强机械加工、铸造等重点工业企业应采取切实有效的噪声防治措施，强化工业噪声污染源头控制，合理规划和调整生产空间布局。新建项目选用无噪或低噪的生产设备；厂区内已建高噪声车间或设备须设置降噪措施。</w:t>
      </w:r>
    </w:p>
    <w:p w14:paraId="0159BC4E">
      <w:pPr>
        <w:pStyle w:val="8"/>
        <w:spacing w:before="240" w:after="240" w:line="600" w:lineRule="exact"/>
        <w:ind w:firstLine="567" w:firstLineChars="157"/>
        <w:rPr>
          <w:rFonts w:ascii="黑体" w:hAnsi="黑体" w:eastAsia="黑体"/>
          <w:sz w:val="36"/>
          <w:szCs w:val="36"/>
        </w:rPr>
      </w:pPr>
      <w:bookmarkStart w:id="74" w:name="_Toc61785979"/>
      <w:r>
        <w:rPr>
          <w:rFonts w:ascii="黑体" w:hAnsi="黑体" w:eastAsia="黑体"/>
          <w:sz w:val="36"/>
          <w:szCs w:val="36"/>
        </w:rPr>
        <w:t>3.</w:t>
      </w:r>
      <w:r>
        <w:rPr>
          <w:rFonts w:hint="eastAsia" w:ascii="黑体" w:hAnsi="黑体" w:eastAsia="黑体"/>
          <w:sz w:val="36"/>
          <w:szCs w:val="36"/>
        </w:rPr>
        <w:t>加强建筑施工噪声</w:t>
      </w:r>
      <w:bookmarkEnd w:id="74"/>
      <w:r>
        <w:rPr>
          <w:rFonts w:hint="eastAsia" w:ascii="黑体" w:hAnsi="黑体" w:eastAsia="黑体"/>
          <w:sz w:val="36"/>
          <w:szCs w:val="36"/>
        </w:rPr>
        <w:t>监管</w:t>
      </w:r>
    </w:p>
    <w:p w14:paraId="4E334C52">
      <w:pPr>
        <w:spacing w:line="600" w:lineRule="exact"/>
        <w:ind w:firstLine="640"/>
        <w:rPr>
          <w:szCs w:val="30"/>
        </w:rPr>
      </w:pPr>
      <w:r>
        <w:rPr>
          <w:rFonts w:hint="eastAsia"/>
          <w:szCs w:val="30"/>
        </w:rPr>
        <w:t>建筑施工阶段的噪声排放必须符合国家《建筑施工场界噪声标准》，推广使用无噪、低噪的施工技术和施工机械。在噪声敏感建筑物集中区域内，禁止午间、夜间进行产生环境噪声的建筑施工作业，设置噪声自动监测系统，加大建筑施工噪声夜间巡查力度，加强有关职能部门相互协作，认真开展施工现场监督管理和执法工作，促进噪声扰民信访的有效处理。</w:t>
      </w:r>
    </w:p>
    <w:p w14:paraId="37495938">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4.减少社会生活噪声污染</w:t>
      </w:r>
    </w:p>
    <w:p w14:paraId="07170E35">
      <w:pPr>
        <w:spacing w:line="600" w:lineRule="exact"/>
        <w:ind w:firstLine="640"/>
      </w:pPr>
      <w:r>
        <w:rPr>
          <w:rFonts w:hint="eastAsia"/>
          <w:szCs w:val="30"/>
        </w:rPr>
        <w:t>采取有效措施防止或减少文化娱乐、体育、餐饮、居民区房屋装修等场所或活动对周边居民的噪声污染；在街道、广场、公园等公共场所组织或者开展娱乐、健身等活动，应当遵守公共场所管理者有关活动区域、时段、音量等规定，采取有效措施，减少振动、降低噪声的措施；使用空调器、冷却塔、水泵、油烟净化器、风机、发电机、变压器、锅炉、装卸设备等可能产生社会生活噪声污染的设备、设施的单位和管理者等，应当采取优化布局、集中排放等措施，减轻并防止噪声污染。对电梯等特种设备使用时发出的噪声进行监督抽测。</w:t>
      </w:r>
    </w:p>
    <w:p w14:paraId="2BA07143">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5</w:t>
      </w:r>
      <w:r>
        <w:rPr>
          <w:rFonts w:ascii="黑体" w:hAnsi="黑体" w:eastAsia="黑体"/>
          <w:sz w:val="36"/>
          <w:szCs w:val="36"/>
        </w:rPr>
        <w:t>.</w:t>
      </w:r>
      <w:r>
        <w:rPr>
          <w:rFonts w:hint="eastAsia" w:ascii="黑体" w:hAnsi="黑体" w:eastAsia="黑体"/>
          <w:sz w:val="36"/>
          <w:szCs w:val="36"/>
        </w:rPr>
        <w:t>加强噪声污染防治的监督管理</w:t>
      </w:r>
    </w:p>
    <w:p w14:paraId="70071DDC">
      <w:pPr>
        <w:spacing w:line="600" w:lineRule="exact"/>
        <w:ind w:firstLine="640"/>
        <w:rPr>
          <w:szCs w:val="30"/>
        </w:rPr>
      </w:pPr>
      <w:r>
        <w:rPr>
          <w:rFonts w:hint="eastAsia"/>
          <w:szCs w:val="30"/>
        </w:rPr>
        <w:t>划定闽侯县建成区各类声环境质量标准的适用区域，在城乡建设规划、区域开发建设过程中，合理安排声功能区和建设布局，防止或者减轻环境噪声污染。严格新项目审批和执法监管，坚持统筹规划、源头防控、分类管理、社会共治、损害担责的原则，加强部门协同配合、信息共享，推进闽侯县区域噪声污染防治工作。开展噪声污染防治法律法规和知识的宣传，提高居民声环境保护意识。</w:t>
      </w:r>
    </w:p>
    <w:p w14:paraId="601E55E2">
      <w:pPr>
        <w:pStyle w:val="7"/>
        <w:spacing w:line="600" w:lineRule="exact"/>
        <w:ind w:firstLine="0" w:firstLineChars="0"/>
        <w:rPr>
          <w:rFonts w:ascii="黑体" w:hAnsi="黑体" w:eastAsia="黑体" w:cs="Times New Roman"/>
          <w:bCs w:val="0"/>
          <w:sz w:val="40"/>
          <w:szCs w:val="40"/>
        </w:rPr>
      </w:pPr>
      <w:bookmarkStart w:id="75" w:name="_Toc103937011"/>
      <w:bookmarkStart w:id="76" w:name="_Toc103937269"/>
      <w:r>
        <w:rPr>
          <w:rFonts w:hint="eastAsia" w:ascii="黑体" w:hAnsi="黑体" w:eastAsia="黑体" w:cs="Times New Roman"/>
          <w:bCs w:val="0"/>
          <w:sz w:val="40"/>
          <w:szCs w:val="40"/>
        </w:rPr>
        <w:t>（六）完善设施建设，加强固废污染防治</w:t>
      </w:r>
      <w:bookmarkEnd w:id="75"/>
      <w:bookmarkEnd w:id="76"/>
    </w:p>
    <w:p w14:paraId="2E470647">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w:t>
      </w:r>
      <w:r>
        <w:rPr>
          <w:rFonts w:ascii="黑体" w:hAnsi="黑体" w:eastAsia="黑体"/>
          <w:sz w:val="36"/>
          <w:szCs w:val="36"/>
        </w:rPr>
        <w:t>.</w:t>
      </w:r>
      <w:r>
        <w:rPr>
          <w:rFonts w:hint="eastAsia" w:ascii="黑体" w:hAnsi="黑体" w:eastAsia="黑体"/>
          <w:sz w:val="36"/>
          <w:szCs w:val="36"/>
        </w:rPr>
        <w:t>完善生活垃圾</w:t>
      </w:r>
      <w:bookmarkStart w:id="77" w:name="_Hlk50236516"/>
      <w:r>
        <w:rPr>
          <w:rFonts w:hint="eastAsia" w:ascii="黑体" w:hAnsi="黑体" w:eastAsia="黑体"/>
          <w:sz w:val="36"/>
          <w:szCs w:val="36"/>
        </w:rPr>
        <w:t>处理及配套设施建设</w:t>
      </w:r>
      <w:bookmarkEnd w:id="77"/>
    </w:p>
    <w:p w14:paraId="75A1E3F9">
      <w:pPr>
        <w:spacing w:line="600" w:lineRule="exact"/>
        <w:ind w:firstLine="640"/>
        <w:rPr>
          <w:rFonts w:ascii="仿宋_GB2312" w:hAnsi="仿宋_GB2312" w:cs="仿宋_GB2312"/>
          <w:szCs w:val="30"/>
        </w:rPr>
      </w:pPr>
      <w:r>
        <w:rPr>
          <w:rFonts w:hint="eastAsia" w:ascii="仿宋_GB2312" w:hAnsi="仿宋_GB2312" w:cs="仿宋_GB2312"/>
          <w:szCs w:val="30"/>
        </w:rPr>
        <w:t>深化生活垃圾村收集、镇转运、县处理的收集模式，加快推进生活垃圾分类减量行动，优化生活垃圾收运处置布局。加强生活垃圾收运处置设施建设，完善各乡镇、社区垃圾中转站建设，优化更新垃圾收运设施设备，加快推进闽侯县环保生态产业园项目（垃圾资源化利用一期）固化飞灰填埋场建设和提标改造，全面实现生活垃圾转运体系自然村组全覆盖目标。加强垃圾填埋场整治，加快完成县城及乡镇非正规垃圾堆放点整治。健全运行管护制度，建立运行管护队伍，探索建立城乡环卫一体化的体制机制，积极推进“智慧环卫”数字化平台建设工作。</w:t>
      </w:r>
    </w:p>
    <w:p w14:paraId="4CD15DC9">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2.完善工业固废处理及配套设施建设</w:t>
      </w:r>
    </w:p>
    <w:p w14:paraId="543B7562">
      <w:pPr>
        <w:spacing w:line="600" w:lineRule="exact"/>
        <w:ind w:firstLine="640"/>
        <w:rPr>
          <w:rFonts w:ascii="仿宋_GB2312" w:hAnsi="仿宋_GB2312" w:cs="仿宋_GB2312"/>
          <w:szCs w:val="30"/>
        </w:rPr>
      </w:pPr>
      <w:r>
        <w:rPr>
          <w:rFonts w:hint="eastAsia" w:ascii="仿宋_GB2312" w:hAnsi="仿宋_GB2312" w:cs="仿宋_GB2312"/>
          <w:szCs w:val="30"/>
        </w:rPr>
        <w:t>强化生态云和省固体废物环境监管平台的运用，全面提升固体废物精细化、信息化监管水平。完善再生资源回收体系，制定再生资源回收目录，鼓励纺织品、汽车轮胎等废旧物品回收利用，对复合包装物、电池、农膜等低值废弃物实行强制回收。以电子废物、废旧车船、废旧电池、废轮胎、废塑料、废纸等为重点，提升并规范工业固体废物再生利用。加快闽侯环保生态产业园垃圾焚烧发电厂配套固化飞灰填埋场项目建设，全面控制固体废物污染，提高固体废物资源利用水平。</w:t>
      </w:r>
    </w:p>
    <w:p w14:paraId="5088EFD1">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3.加强危险废物监督与管理</w:t>
      </w:r>
    </w:p>
    <w:p w14:paraId="05578B50">
      <w:pPr>
        <w:spacing w:line="600" w:lineRule="exact"/>
        <w:ind w:firstLine="640"/>
        <w:rPr>
          <w:rFonts w:ascii="仿宋_GB2312" w:hAnsi="仿宋_GB2312" w:cs="仿宋_GB2312"/>
          <w:szCs w:val="30"/>
        </w:rPr>
      </w:pPr>
      <w:r>
        <w:rPr>
          <w:rFonts w:hint="eastAsia" w:ascii="仿宋_GB2312" w:hAnsi="仿宋_GB2312" w:cs="仿宋_GB2312"/>
          <w:szCs w:val="30"/>
        </w:rPr>
        <w:t>结合福建省固废管理平台，加强危险废物申报审查和规范化管理督查考核，加大危险废物产生、储存、转运、处置等环节监管，重点强化福建省固体废物处置有限公司处置设施运营监管。开展工业危险废物排查整治行动，全面排查辖区内、重金属、化学、电镀等重点行业企业危险废物，强化对重点行业企业的监督管理，进一步防范环境风险。开展医疗废物和实验室废物的监督检查，确保全过程的规范性。加快推进闽侯环保生态产业园项目建设，提升危废处置能力，确保危险废物利用处置率达100%。</w:t>
      </w:r>
    </w:p>
    <w:p w14:paraId="4388C9BE">
      <w:pPr>
        <w:widowControl/>
        <w:spacing w:before="312" w:beforeLines="100" w:after="156" w:afterLines="50" w:line="600" w:lineRule="exact"/>
        <w:ind w:firstLine="0" w:firstLineChars="0"/>
        <w:jc w:val="center"/>
        <w:rPr>
          <w:b/>
          <w:bCs/>
          <w:szCs w:val="30"/>
        </w:rPr>
      </w:pPr>
      <w:r>
        <w:rPr>
          <w:rFonts w:hint="eastAsia"/>
          <w:b/>
          <w:bCs/>
          <w:szCs w:val="30"/>
        </w:rPr>
        <w:t xml:space="preserve">专栏 </w:t>
      </w:r>
      <w:r>
        <w:rPr>
          <w:b/>
          <w:bCs/>
          <w:szCs w:val="30"/>
        </w:rPr>
        <w:t>4</w:t>
      </w:r>
      <w:r>
        <w:rPr>
          <w:rFonts w:hint="eastAsia"/>
          <w:b/>
          <w:bCs/>
          <w:szCs w:val="30"/>
        </w:rPr>
        <w:t xml:space="preserve"> 固废处置能力提升重点工程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2342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9464" w:type="dxa"/>
          </w:tcPr>
          <w:p w14:paraId="2859D2C7">
            <w:pPr>
              <w:ind w:firstLine="560"/>
              <w:jc w:val="left"/>
              <w:rPr>
                <w:sz w:val="28"/>
                <w:szCs w:val="24"/>
              </w:rPr>
            </w:pPr>
            <w:r>
              <w:rPr>
                <w:rFonts w:hint="eastAsia"/>
                <w:sz w:val="28"/>
                <w:szCs w:val="24"/>
              </w:rPr>
              <w:t>加快闽侯生态环保产业园</w:t>
            </w:r>
            <w:r>
              <w:rPr>
                <w:rFonts w:hint="eastAsia"/>
                <w:sz w:val="28"/>
              </w:rPr>
              <w:t>垃圾焚烧发电厂配套</w:t>
            </w:r>
            <w:bookmarkStart w:id="78" w:name="_Hlk101835441"/>
            <w:r>
              <w:rPr>
                <w:rFonts w:hint="eastAsia"/>
                <w:sz w:val="28"/>
              </w:rPr>
              <w:t>固化飞灰填埋场</w:t>
            </w:r>
            <w:bookmarkEnd w:id="78"/>
            <w:r>
              <w:rPr>
                <w:rFonts w:hint="eastAsia"/>
                <w:sz w:val="28"/>
              </w:rPr>
              <w:t>项目建设，推动</w:t>
            </w:r>
            <w:r>
              <w:rPr>
                <w:rFonts w:hint="eastAsia"/>
                <w:sz w:val="28"/>
                <w:szCs w:val="24"/>
              </w:rPr>
              <w:t>福建省危险废物综合处置场30吨/天医疗废物处置项目、福建省危险废物综合处置场二期安全填埋场项目。</w:t>
            </w:r>
          </w:p>
          <w:p w14:paraId="758E624F">
            <w:pPr>
              <w:ind w:firstLine="560"/>
              <w:jc w:val="left"/>
            </w:pPr>
            <w:r>
              <w:rPr>
                <w:rFonts w:hint="eastAsia"/>
                <w:sz w:val="28"/>
                <w:szCs w:val="24"/>
              </w:rPr>
              <w:t>实施青口镇建筑垃圾处置场项目，加快推进福建省轻工机械设备有限公司环保处理生产线项目建成10万吨餐厨垃圾、厨余垃圾和农林废弃物生产线。</w:t>
            </w:r>
          </w:p>
        </w:tc>
      </w:tr>
    </w:tbl>
    <w:p w14:paraId="3A81B3FE">
      <w:pPr>
        <w:pStyle w:val="7"/>
        <w:spacing w:line="600" w:lineRule="exact"/>
        <w:ind w:firstLine="0" w:firstLineChars="0"/>
        <w:rPr>
          <w:rFonts w:ascii="黑体" w:hAnsi="黑体" w:eastAsia="黑体" w:cs="Times New Roman"/>
          <w:bCs w:val="0"/>
          <w:sz w:val="40"/>
          <w:szCs w:val="40"/>
        </w:rPr>
      </w:pPr>
      <w:bookmarkStart w:id="79" w:name="_Toc103937012"/>
      <w:bookmarkStart w:id="80" w:name="_Toc103937270"/>
      <w:r>
        <w:rPr>
          <w:rFonts w:hint="eastAsia" w:ascii="黑体" w:hAnsi="黑体" w:eastAsia="黑体" w:cs="Times New Roman"/>
          <w:bCs w:val="0"/>
          <w:sz w:val="40"/>
          <w:szCs w:val="40"/>
        </w:rPr>
        <w:t>（七）推动乡村生态振兴，打造“美丽乡村”</w:t>
      </w:r>
      <w:bookmarkEnd w:id="79"/>
      <w:bookmarkEnd w:id="80"/>
    </w:p>
    <w:p w14:paraId="6032ECBB">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1.推动“绿盈乡村”建设</w:t>
      </w:r>
    </w:p>
    <w:p w14:paraId="6DC70328">
      <w:pPr>
        <w:spacing w:line="600" w:lineRule="exact"/>
        <w:ind w:firstLine="640"/>
        <w:rPr>
          <w:rFonts w:ascii="仿宋_GB2312" w:hAnsi="仿宋_GB2312" w:cs="仿宋_GB2312"/>
          <w:szCs w:val="30"/>
        </w:rPr>
      </w:pPr>
      <w:r>
        <w:rPr>
          <w:rFonts w:hint="eastAsia" w:ascii="仿宋_GB2312" w:hAnsi="仿宋_GB2312" w:cs="仿宋_GB2312"/>
          <w:szCs w:val="30"/>
        </w:rPr>
        <w:t>打造闽侯特色的“绿盈乡村”品牌，结合农村“一革命四行动”，围绕“山更好、水更清、林更优、田更洁、天更蓝、海更净、业更兴、村更美”等八个方面目标，打造“绿盈乡村”品牌，推动富有绿化、绿韵、绿态、绿魂的生态振兴村建设。将其作为全县乡村生态振兴工作的重要抓手。结合山区、平原、沿江等不同村庄发展现状、区位条件、资源禀赋、产业基础，分初级版、中级版与高级版，分步骤推进“绿盈乡村”建设。至</w:t>
      </w:r>
      <w:r>
        <w:rPr>
          <w:rFonts w:ascii="仿宋_GB2312" w:hAnsi="仿宋_GB2312" w:cs="仿宋_GB2312"/>
          <w:szCs w:val="30"/>
        </w:rPr>
        <w:t>2025年，闽侯县“绿盈乡村”占比达到85%</w:t>
      </w:r>
      <w:r>
        <w:rPr>
          <w:rFonts w:hint="eastAsia" w:ascii="仿宋_GB2312" w:hAnsi="仿宋_GB2312" w:cs="仿宋_GB2312"/>
          <w:szCs w:val="30"/>
        </w:rPr>
        <w:t>。</w:t>
      </w:r>
    </w:p>
    <w:p w14:paraId="1A8034C4">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2.进一步改善农村人居环境</w:t>
      </w:r>
    </w:p>
    <w:p w14:paraId="240B3649">
      <w:pPr>
        <w:spacing w:line="600" w:lineRule="exact"/>
        <w:ind w:firstLine="643"/>
        <w:rPr>
          <w:szCs w:val="30"/>
        </w:rPr>
      </w:pPr>
      <w:r>
        <w:rPr>
          <w:rFonts w:hint="eastAsia"/>
          <w:b/>
          <w:szCs w:val="30"/>
        </w:rPr>
        <w:t>推进农村生活污水治理。</w:t>
      </w:r>
      <w:r>
        <w:rPr>
          <w:bCs/>
          <w:szCs w:val="30"/>
        </w:rPr>
        <w:t>加快推进《</w:t>
      </w:r>
      <w:r>
        <w:rPr>
          <w:rFonts w:hint="eastAsia"/>
          <w:bCs/>
          <w:szCs w:val="30"/>
        </w:rPr>
        <w:t>闽侯县</w:t>
      </w:r>
      <w:r>
        <w:rPr>
          <w:bCs/>
          <w:szCs w:val="30"/>
        </w:rPr>
        <w:t>农村生活污水治理专项规划（</w:t>
      </w:r>
      <w:r>
        <w:rPr>
          <w:rFonts w:ascii="仿宋_GB2312" w:hAnsi="仿宋_GB2312" w:cs="仿宋_GB2312"/>
          <w:szCs w:val="30"/>
        </w:rPr>
        <w:t>2020</w:t>
      </w:r>
      <w:r>
        <w:rPr>
          <w:rFonts w:hint="eastAsia" w:ascii="宋体" w:hAnsi="宋体" w:eastAsia="宋体" w:cs="仿宋_GB2312"/>
          <w:szCs w:val="30"/>
        </w:rPr>
        <w:t>～</w:t>
      </w:r>
      <w:r>
        <w:rPr>
          <w:rFonts w:ascii="仿宋_GB2312" w:hAnsi="仿宋_GB2312" w:cs="仿宋_GB2312"/>
          <w:szCs w:val="30"/>
        </w:rPr>
        <w:t>2030</w:t>
      </w:r>
      <w:r>
        <w:rPr>
          <w:bCs/>
          <w:szCs w:val="30"/>
        </w:rPr>
        <w:t>）》落地落实，开展农村生活污水收集处理设施建设。</w:t>
      </w:r>
      <w:r>
        <w:rPr>
          <w:rFonts w:hint="eastAsia"/>
          <w:szCs w:val="30"/>
        </w:rPr>
        <w:t>在全面完成全县农村人居环境整治三年行动基础上实施农村生活污水“提升版”治理，提高纳入城镇污水处理厂和小型集中式污水处理设施处理的受益村庄比例，农村水环境质量明显改善。因地制宜、实事求是确定治理技术路线和处理工艺，有条件的村庄优先接入城镇污水管网统一处理；确实无条件的，但人口集聚、自然消纳能力不足、经济条件较好的村庄，建设村庄集中污水处理设施收集处理；居住较为分散、地形地貌复杂的村庄，采取就近利用和分散处理。积极引导农户减少生活污水源头排放，鼓励农户粪污资源化利用。根据《闽侯县生活污水提升治理五年行动计划（</w:t>
      </w:r>
      <w:r>
        <w:rPr>
          <w:rFonts w:ascii="仿宋_GB2312" w:hAnsi="仿宋_GB2312" w:cs="仿宋_GB2312"/>
          <w:szCs w:val="30"/>
        </w:rPr>
        <w:t>2021</w:t>
      </w:r>
      <w:r>
        <w:rPr>
          <w:rFonts w:hint="eastAsia" w:ascii="宋体" w:hAnsi="宋体" w:eastAsia="宋体"/>
          <w:szCs w:val="30"/>
        </w:rPr>
        <w:t>～</w:t>
      </w:r>
      <w:r>
        <w:rPr>
          <w:rFonts w:ascii="仿宋_GB2312" w:hAnsi="仿宋_GB2312" w:cs="仿宋_GB2312"/>
          <w:szCs w:val="30"/>
        </w:rPr>
        <w:t>2025</w:t>
      </w:r>
      <w:r>
        <w:rPr>
          <w:rFonts w:hint="eastAsia"/>
          <w:szCs w:val="30"/>
        </w:rPr>
        <w:t>年）》，到</w:t>
      </w:r>
      <w:r>
        <w:rPr>
          <w:rFonts w:ascii="仿宋_GB2312" w:hAnsi="仿宋_GB2312" w:cs="仿宋_GB2312"/>
          <w:szCs w:val="30"/>
        </w:rPr>
        <w:t>2025</w:t>
      </w:r>
      <w:r>
        <w:rPr>
          <w:rFonts w:hint="eastAsia"/>
          <w:szCs w:val="30"/>
        </w:rPr>
        <w:t>年，完成</w:t>
      </w:r>
      <w:r>
        <w:rPr>
          <w:rFonts w:ascii="仿宋_GB2312" w:hAnsi="仿宋_GB2312" w:cs="仿宋_GB2312"/>
          <w:szCs w:val="30"/>
        </w:rPr>
        <w:t>104</w:t>
      </w:r>
      <w:r>
        <w:rPr>
          <w:rFonts w:hint="eastAsia"/>
          <w:szCs w:val="30"/>
        </w:rPr>
        <w:t>个农村生活污水提升治理。</w:t>
      </w:r>
    </w:p>
    <w:p w14:paraId="455C4750">
      <w:pPr>
        <w:spacing w:line="600" w:lineRule="exact"/>
        <w:ind w:firstLine="643"/>
        <w:rPr>
          <w:szCs w:val="30"/>
        </w:rPr>
      </w:pPr>
      <w:r>
        <w:rPr>
          <w:rFonts w:hint="eastAsia"/>
          <w:b/>
          <w:szCs w:val="30"/>
        </w:rPr>
        <w:t>推进农村生活垃圾减量化。</w:t>
      </w:r>
      <w:r>
        <w:rPr>
          <w:rFonts w:hint="eastAsia"/>
          <w:szCs w:val="30"/>
        </w:rPr>
        <w:t>推行生活垃圾“干湿”分类，易腐烂垃圾就地就近堆肥处理，灰渣土、碎砖旧瓦等惰性垃圾在村内铺路填坑，可回收垃圾纳入资源回收利用体系，实现农村生活垃圾源头减量和资源化利用；严禁垃圾露天堆积存放或就地燃烧。</w:t>
      </w:r>
    </w:p>
    <w:p w14:paraId="2D8F6494">
      <w:pPr>
        <w:spacing w:line="600" w:lineRule="exact"/>
        <w:ind w:firstLine="643"/>
        <w:rPr>
          <w:szCs w:val="30"/>
        </w:rPr>
      </w:pPr>
      <w:r>
        <w:rPr>
          <w:rFonts w:hint="eastAsia"/>
          <w:b/>
          <w:szCs w:val="30"/>
        </w:rPr>
        <w:t>推进农村厕所革命。</w:t>
      </w:r>
      <w:r>
        <w:rPr>
          <w:rFonts w:hint="eastAsia"/>
          <w:szCs w:val="30"/>
        </w:rPr>
        <w:t>进一步推进“厕所革命”，深入推进农村公厕建设和户厕改造，完善公厕布局，增加公厕数量，提升公厕品质。到“十四五”末，农村水冲式卫生厕所实现全面普及，旱厕全面改造，改厕质量全面提高，长效管护机制全面建立，厕所粪污得到有效处理或资源化利用。</w:t>
      </w:r>
    </w:p>
    <w:p w14:paraId="4D58A3A7">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3.强化农村面源污染防治</w:t>
      </w:r>
    </w:p>
    <w:p w14:paraId="3DD25E97">
      <w:pPr>
        <w:spacing w:line="600" w:lineRule="exact"/>
        <w:ind w:firstLine="643"/>
      </w:pPr>
      <w:r>
        <w:rPr>
          <w:rFonts w:hint="eastAsia"/>
          <w:b/>
          <w:szCs w:val="30"/>
        </w:rPr>
        <w:t>大力推进畜禽粪污资源化利用行动。</w:t>
      </w:r>
      <w:r>
        <w:rPr>
          <w:rFonts w:hint="eastAsia"/>
        </w:rPr>
        <w:t>建立科学规范、权责清晰、约束有力的畜禽粪污资源化利用制度，加快构建种养结合、农牧循环的可持续发展机制；实施畜禽粪污处理和资源化利用整县推进，引导各类主体开展畜禽粪污资源化利用，逐步建立起粪污收集、储运、资源化利用长效机制，加快《畜禽养殖污染防治规划》的编制。到</w:t>
      </w:r>
      <w:bookmarkStart w:id="81" w:name="_Hlk102232501"/>
      <w:r>
        <w:rPr>
          <w:rFonts w:ascii="仿宋_GB2312" w:hAnsi="仿宋_GB2312" w:cs="仿宋_GB2312"/>
          <w:szCs w:val="30"/>
        </w:rPr>
        <w:t>2025</w:t>
      </w:r>
      <w:r>
        <w:rPr>
          <w:rFonts w:hint="eastAsia"/>
        </w:rPr>
        <w:t>年</w:t>
      </w:r>
      <w:bookmarkEnd w:id="81"/>
      <w:r>
        <w:rPr>
          <w:rFonts w:hint="eastAsia"/>
        </w:rPr>
        <w:t>，全县规模养殖场粪污处理设施装备配套率达到</w:t>
      </w:r>
      <w:bookmarkStart w:id="82" w:name="_Hlk102232489"/>
      <w:r>
        <w:rPr>
          <w:rFonts w:ascii="仿宋_GB2312" w:hAnsi="仿宋_GB2312" w:cs="仿宋_GB2312"/>
          <w:szCs w:val="30"/>
        </w:rPr>
        <w:t>100%</w:t>
      </w:r>
      <w:bookmarkEnd w:id="82"/>
      <w:r>
        <w:rPr>
          <w:rFonts w:hint="eastAsia"/>
        </w:rPr>
        <w:t>，病死畜禽无害化处理率达</w:t>
      </w:r>
      <w:r>
        <w:rPr>
          <w:rFonts w:ascii="仿宋_GB2312" w:hAnsi="仿宋_GB2312" w:cs="仿宋_GB2312"/>
          <w:szCs w:val="30"/>
        </w:rPr>
        <w:t>100%</w:t>
      </w:r>
      <w:r>
        <w:rPr>
          <w:rFonts w:hint="eastAsia"/>
        </w:rPr>
        <w:t>，畜禽粪污资源化利用率达到</w:t>
      </w:r>
      <w:r>
        <w:rPr>
          <w:rFonts w:ascii="仿宋_GB2312" w:hAnsi="仿宋_GB2312" w:cs="仿宋_GB2312"/>
          <w:szCs w:val="30"/>
        </w:rPr>
        <w:t>95%</w:t>
      </w:r>
      <w:r>
        <w:rPr>
          <w:rFonts w:hint="eastAsia"/>
        </w:rPr>
        <w:t>以上。</w:t>
      </w:r>
    </w:p>
    <w:p w14:paraId="133B1C11">
      <w:pPr>
        <w:spacing w:line="600" w:lineRule="exact"/>
        <w:ind w:firstLine="643"/>
      </w:pPr>
      <w:r>
        <w:rPr>
          <w:rFonts w:hint="eastAsia"/>
          <w:b/>
          <w:szCs w:val="30"/>
        </w:rPr>
        <w:t>建立农药包装废弃物和农膜回收处理体系</w:t>
      </w:r>
      <w:r>
        <w:rPr>
          <w:rFonts w:hint="eastAsia"/>
        </w:rPr>
        <w:t>。建设农村定点有偿回收农药包装废弃物和农膜站点，建立健全贮运和综合利用网络，到</w:t>
      </w:r>
      <w:r>
        <w:rPr>
          <w:rFonts w:ascii="仿宋_GB2312" w:hAnsi="仿宋_GB2312" w:cs="仿宋_GB2312"/>
          <w:szCs w:val="30"/>
        </w:rPr>
        <w:t>2025</w:t>
      </w:r>
      <w:r>
        <w:rPr>
          <w:rFonts w:hint="eastAsia"/>
        </w:rPr>
        <w:t>年，实现全县废弃农膜回收率达到</w:t>
      </w:r>
      <w:r>
        <w:rPr>
          <w:rFonts w:ascii="仿宋_GB2312" w:hAnsi="仿宋_GB2312" w:cs="仿宋_GB2312"/>
          <w:szCs w:val="30"/>
        </w:rPr>
        <w:t>8</w:t>
      </w:r>
      <w:bookmarkStart w:id="83" w:name="_Hlk102232457"/>
      <w:r>
        <w:rPr>
          <w:rFonts w:ascii="仿宋_GB2312" w:hAnsi="仿宋_GB2312" w:cs="仿宋_GB2312"/>
          <w:szCs w:val="30"/>
        </w:rPr>
        <w:t>0%</w:t>
      </w:r>
      <w:bookmarkEnd w:id="83"/>
      <w:r>
        <w:rPr>
          <w:rFonts w:hint="eastAsia"/>
        </w:rPr>
        <w:t>以上。</w:t>
      </w:r>
    </w:p>
    <w:p w14:paraId="6C9331ED">
      <w:pPr>
        <w:pStyle w:val="2"/>
        <w:spacing w:after="0" w:afterAutospacing="0" w:line="600" w:lineRule="exact"/>
        <w:ind w:firstLine="643"/>
        <w:rPr>
          <w:rFonts w:ascii="Times New Roman" w:hAnsi="Times New Roman" w:cs="Times New Roman"/>
          <w:szCs w:val="30"/>
        </w:rPr>
      </w:pPr>
      <w:r>
        <w:rPr>
          <w:rFonts w:hint="eastAsia" w:ascii="Times New Roman" w:hAnsi="Times New Roman"/>
          <w:b/>
          <w:bCs/>
          <w:szCs w:val="30"/>
        </w:rPr>
        <w:t>持续推进化肥减量增效。</w:t>
      </w:r>
      <w:r>
        <w:rPr>
          <w:rFonts w:hint="eastAsia" w:ascii="Times New Roman" w:hAnsi="Times New Roman" w:cs="Times New Roman"/>
          <w:szCs w:val="30"/>
        </w:rPr>
        <w:t>一是调优结构减量。优化氮磷钾配比，优化产品结构，加快推广新型高效肥料；二是精准施肥减量。推进农机农艺融合，推广机械施肥、种肥同播、水肥一体等技术，提高化肥利用率；三是有机肥替代减量。推进秸秆还田、畜禽粪便资源化利用，种植绿肥，用有机肥替代部分化肥；四是新型经营主体示范带动减量。依托种粮大户等新型经营主体，创建化肥减量增效示范区，带动科学施肥技术推广应用。到</w:t>
      </w:r>
      <w:r>
        <w:rPr>
          <w:rFonts w:ascii="仿宋_GB2312" w:hAnsi="仿宋_GB2312" w:cs="仿宋_GB2312"/>
          <w:szCs w:val="30"/>
        </w:rPr>
        <w:t>2025</w:t>
      </w:r>
      <w:r>
        <w:rPr>
          <w:rFonts w:hint="eastAsia" w:ascii="Times New Roman" w:hAnsi="Times New Roman" w:cs="Times New Roman"/>
          <w:szCs w:val="30"/>
        </w:rPr>
        <w:t>年，实现全县化肥使用量逐年减少</w:t>
      </w:r>
      <w:bookmarkStart w:id="84" w:name="_Hlk102232522"/>
      <w:r>
        <w:rPr>
          <w:rFonts w:ascii="仿宋_GB2312" w:hAnsi="仿宋_GB2312" w:cs="仿宋_GB2312"/>
          <w:szCs w:val="30"/>
        </w:rPr>
        <w:t>2%</w:t>
      </w:r>
      <w:bookmarkEnd w:id="84"/>
      <w:r>
        <w:rPr>
          <w:rFonts w:ascii="Times New Roman" w:hAnsi="Times New Roman" w:cs="Times New Roman"/>
          <w:szCs w:val="30"/>
        </w:rPr>
        <w:t xml:space="preserve"> </w:t>
      </w:r>
      <w:r>
        <w:rPr>
          <w:rFonts w:hint="eastAsia" w:ascii="Times New Roman" w:hAnsi="Times New Roman" w:cs="Times New Roman"/>
          <w:szCs w:val="30"/>
        </w:rPr>
        <w:t>的目标。</w:t>
      </w:r>
    </w:p>
    <w:p w14:paraId="06A5442B">
      <w:pPr>
        <w:pStyle w:val="2"/>
        <w:spacing w:line="600" w:lineRule="exact"/>
        <w:ind w:firstLine="643"/>
        <w:rPr>
          <w:szCs w:val="30"/>
        </w:rPr>
      </w:pPr>
      <w:r>
        <w:rPr>
          <w:rFonts w:hint="eastAsia" w:ascii="Times New Roman" w:hAnsi="Times New Roman"/>
          <w:b/>
          <w:bCs/>
          <w:szCs w:val="30"/>
        </w:rPr>
        <w:t>持续推进农药减量增效。</w:t>
      </w:r>
      <w:r>
        <w:rPr>
          <w:rFonts w:hint="eastAsia"/>
          <w:szCs w:val="30"/>
        </w:rPr>
        <w:t>一是加强病虫监测，准确测报，指导种植户科学、精准防控，减少农药使用次数与用量；二是推广农作物病虫绿色防控技术，包括农业、生态、物理等非化学防控技术以及生物农药、农药增效剂等应用技术，有效、经济、安全地防控病虫害；三是推广高效施药器械，让最新的物化成果转化为生产力。到</w:t>
      </w:r>
      <w:bookmarkStart w:id="85" w:name="_Hlk102232391"/>
      <w:r>
        <w:rPr>
          <w:rFonts w:ascii="仿宋_GB2312" w:hAnsi="仿宋_GB2312" w:cs="仿宋_GB2312"/>
          <w:szCs w:val="30"/>
        </w:rPr>
        <w:t>2025</w:t>
      </w:r>
      <w:bookmarkEnd w:id="85"/>
      <w:r>
        <w:rPr>
          <w:rFonts w:ascii="Times New Roman" w:hAnsi="Times New Roman" w:cs="Times New Roman"/>
          <w:szCs w:val="30"/>
        </w:rPr>
        <w:t>年，实现全县农药使用量逐年减少</w:t>
      </w:r>
      <w:r>
        <w:rPr>
          <w:rFonts w:ascii="仿宋_GB2312" w:hAnsi="仿宋_GB2312" w:cs="仿宋_GB2312"/>
          <w:szCs w:val="30"/>
        </w:rPr>
        <w:t>2%</w:t>
      </w:r>
      <w:r>
        <w:rPr>
          <w:rFonts w:ascii="Times New Roman" w:hAnsi="Times New Roman" w:cs="Times New Roman"/>
          <w:szCs w:val="30"/>
        </w:rPr>
        <w:t xml:space="preserve"> </w:t>
      </w:r>
      <w:r>
        <w:rPr>
          <w:rFonts w:hint="eastAsia"/>
          <w:szCs w:val="30"/>
        </w:rPr>
        <w:t>的目标。</w:t>
      </w:r>
    </w:p>
    <w:p w14:paraId="29A131B5">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4.深入推进乡村生态振兴</w:t>
      </w:r>
    </w:p>
    <w:p w14:paraId="29BBF1F9">
      <w:pPr>
        <w:spacing w:line="600" w:lineRule="exact"/>
        <w:ind w:firstLine="643"/>
        <w:rPr>
          <w:b/>
          <w:szCs w:val="30"/>
        </w:rPr>
      </w:pPr>
      <w:r>
        <w:rPr>
          <w:rFonts w:hint="eastAsia"/>
          <w:b/>
          <w:szCs w:val="30"/>
        </w:rPr>
        <w:t>大力实施乡村振兴战略。</w:t>
      </w:r>
      <w:r>
        <w:rPr>
          <w:rFonts w:hint="eastAsia"/>
          <w:bCs/>
          <w:szCs w:val="30"/>
        </w:rPr>
        <w:t>一是突出“农业兴”，力促农业全面升级。牢牢把握住粮食安全主动权，建设高标准农田 1 万亩以上。推进福州金鱼公园建设，大力发展果蔬、食用菌等特色农业，打响“闽侯菜丫好”的品牌。加强农产品质量安全监管。鼓励发展林下经济、休闲农业。二是突出“农村美”，力促农村全面进步。全力推动鸿尾、白沙乡村振兴示范镇建设，支持洋里、大湖、廷坪、小箬培育乡村振兴连片示范区。大力实施乡村建设行动，提升农村人居环境，补齐基础设施短板。</w:t>
      </w:r>
    </w:p>
    <w:p w14:paraId="1B7A9958">
      <w:pPr>
        <w:spacing w:line="600" w:lineRule="exact"/>
        <w:ind w:firstLine="643"/>
        <w:rPr>
          <w:szCs w:val="30"/>
        </w:rPr>
      </w:pPr>
      <w:r>
        <w:rPr>
          <w:rFonts w:hint="eastAsia"/>
          <w:b/>
          <w:szCs w:val="30"/>
        </w:rPr>
        <w:t>加强农村饮用水安全保障。</w:t>
      </w:r>
      <w:r>
        <w:rPr>
          <w:rFonts w:hint="eastAsia"/>
          <w:szCs w:val="30"/>
        </w:rPr>
        <w:t>逐步推进完善农村饮用水水源保护区划定，加快推进“千吨万人”及农村分散式饮用水水源地规范化建设。继续推进从水源到“水龙头”全过程监管，重点推进农村饮水安全巩固提升工程建设，实现优水优供。强化饮用水水源水质监控，定期监测、检测和评估饮水安全状况。</w:t>
      </w:r>
    </w:p>
    <w:p w14:paraId="3148C9FB">
      <w:pPr>
        <w:spacing w:line="600" w:lineRule="exact"/>
        <w:ind w:firstLine="643"/>
        <w:rPr>
          <w:szCs w:val="30"/>
        </w:rPr>
      </w:pPr>
      <w:r>
        <w:rPr>
          <w:rFonts w:hint="eastAsia"/>
          <w:b/>
          <w:szCs w:val="30"/>
        </w:rPr>
        <w:t>加强农村水系治理。</w:t>
      </w:r>
      <w:r>
        <w:rPr>
          <w:rFonts w:hint="eastAsia"/>
          <w:szCs w:val="30"/>
        </w:rPr>
        <w:t>稳步推进农村黑臭水体治理，开展农村村庄河道生态修复、沿河绿化工程。加快城乡供水一体化。中心城区、县城周边加快推进规模化集中供水、完善城镇与农村生活污水管网的连接，推动城乡环卫一体化，促进环境治理全域化、环境基础设施运营管护长效化，形成城乡一体的高质量生态环保服务供给。</w:t>
      </w:r>
    </w:p>
    <w:p w14:paraId="2CD4A465">
      <w:pPr>
        <w:spacing w:line="600" w:lineRule="exact"/>
        <w:ind w:firstLine="643"/>
      </w:pPr>
      <w:r>
        <w:rPr>
          <w:rFonts w:hint="eastAsia"/>
          <w:b/>
          <w:szCs w:val="30"/>
        </w:rPr>
        <w:t>加强农村环境监管能力建设。</w:t>
      </w:r>
      <w:r>
        <w:rPr>
          <w:rFonts w:hint="eastAsia"/>
          <w:szCs w:val="30"/>
        </w:rPr>
        <w:t>明确农村环境整治责任分工，完善县、乡镇（街道）、社区（村）三级网格建立，加强基层网格员的配备及专业能力培养。结合生态云平台，加快建设环境网格化监管平台。组织开展分期、分批环境监管网格化知识专业培训，提高队伍素质。</w:t>
      </w:r>
    </w:p>
    <w:p w14:paraId="453C089C">
      <w:pPr>
        <w:widowControl/>
        <w:spacing w:before="312" w:beforeLines="100" w:line="600" w:lineRule="exact"/>
        <w:ind w:firstLine="0" w:firstLineChars="0"/>
        <w:jc w:val="center"/>
        <w:rPr>
          <w:b/>
          <w:bCs/>
          <w:szCs w:val="30"/>
        </w:rPr>
      </w:pPr>
      <w:bookmarkStart w:id="86" w:name="_Toc61786003"/>
      <w:bookmarkStart w:id="87" w:name="_Toc72246630"/>
      <w:bookmarkStart w:id="88" w:name="_Toc72148493"/>
      <w:r>
        <w:rPr>
          <w:rFonts w:hint="eastAsia"/>
          <w:b/>
          <w:bCs/>
          <w:szCs w:val="30"/>
        </w:rPr>
        <w:t xml:space="preserve">专栏 </w:t>
      </w:r>
      <w:r>
        <w:rPr>
          <w:b/>
          <w:bCs/>
          <w:szCs w:val="30"/>
        </w:rPr>
        <w:t>5</w:t>
      </w:r>
      <w:r>
        <w:rPr>
          <w:rFonts w:hint="eastAsia"/>
          <w:b/>
          <w:bCs/>
          <w:szCs w:val="30"/>
        </w:rPr>
        <w:t xml:space="preserve"> “美丽乡村”与生态振兴重点工程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2599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4" w:type="dxa"/>
          </w:tcPr>
          <w:p w14:paraId="6EE29675">
            <w:pPr>
              <w:spacing w:before="156" w:beforeLines="50"/>
              <w:ind w:left="641" w:firstLine="0" w:firstLineChars="0"/>
              <w:rPr>
                <w:b/>
                <w:bCs/>
                <w:sz w:val="28"/>
                <w:szCs w:val="24"/>
              </w:rPr>
            </w:pPr>
            <w:r>
              <w:rPr>
                <w:rFonts w:hint="eastAsia"/>
                <w:b/>
                <w:bCs/>
                <w:sz w:val="28"/>
                <w:szCs w:val="24"/>
              </w:rPr>
              <w:t>1.</w:t>
            </w:r>
            <w:r>
              <w:rPr>
                <w:b/>
                <w:bCs/>
                <w:sz w:val="28"/>
                <w:szCs w:val="24"/>
              </w:rPr>
              <w:t xml:space="preserve"> </w:t>
            </w:r>
            <w:r>
              <w:rPr>
                <w:rFonts w:hint="eastAsia"/>
                <w:b/>
                <w:bCs/>
                <w:sz w:val="28"/>
                <w:szCs w:val="24"/>
              </w:rPr>
              <w:t>农村供水安全</w:t>
            </w:r>
          </w:p>
          <w:p w14:paraId="493D74D3">
            <w:pPr>
              <w:ind w:firstLine="560"/>
              <w:jc w:val="left"/>
              <w:rPr>
                <w:sz w:val="28"/>
                <w:szCs w:val="24"/>
              </w:rPr>
            </w:pPr>
            <w:r>
              <w:rPr>
                <w:rFonts w:hint="eastAsia"/>
                <w:sz w:val="28"/>
                <w:szCs w:val="24"/>
              </w:rPr>
              <w:t>加快推进农村“千吨万人”、“千人以上”集中式饮用水源保护区和“千人以下”分散式饮用水源保护区划定、勘界立碑和环境整治。</w:t>
            </w:r>
          </w:p>
          <w:p w14:paraId="31EF1958">
            <w:pPr>
              <w:pStyle w:val="2"/>
              <w:spacing w:after="156" w:afterLines="50" w:afterAutospacing="0"/>
              <w:ind w:firstLine="560"/>
              <w:rPr>
                <w:sz w:val="28"/>
                <w:szCs w:val="13"/>
              </w:rPr>
            </w:pPr>
            <w:r>
              <w:rPr>
                <w:rFonts w:hint="eastAsia"/>
                <w:sz w:val="28"/>
                <w:szCs w:val="13"/>
              </w:rPr>
              <w:t>实施闽侯东南汽车城自来水厂项目、青口镇农村饮用水改造项目、以及鸿尾乡和竹岐乡供水工程建设，闽侯段平潭及闽江口水资源配置工程，加快闽侯县城乡供水一体化建设。</w:t>
            </w:r>
          </w:p>
          <w:p w14:paraId="2137F181">
            <w:pPr>
              <w:ind w:firstLine="562"/>
              <w:jc w:val="left"/>
              <w:rPr>
                <w:b/>
                <w:bCs/>
                <w:sz w:val="28"/>
                <w:szCs w:val="24"/>
              </w:rPr>
            </w:pPr>
            <w:r>
              <w:rPr>
                <w:rFonts w:hint="eastAsia"/>
                <w:b/>
                <w:bCs/>
                <w:sz w:val="28"/>
                <w:szCs w:val="24"/>
              </w:rPr>
              <w:t>2.</w:t>
            </w:r>
            <w:r>
              <w:rPr>
                <w:b/>
                <w:bCs/>
                <w:sz w:val="28"/>
                <w:szCs w:val="24"/>
              </w:rPr>
              <w:t xml:space="preserve"> </w:t>
            </w:r>
            <w:r>
              <w:rPr>
                <w:rFonts w:hint="eastAsia"/>
                <w:b/>
                <w:bCs/>
                <w:sz w:val="28"/>
                <w:szCs w:val="24"/>
              </w:rPr>
              <w:t xml:space="preserve">农村环保基础设施建设 </w:t>
            </w:r>
          </w:p>
          <w:p w14:paraId="5F45CA43">
            <w:pPr>
              <w:ind w:firstLine="560"/>
              <w:jc w:val="left"/>
              <w:rPr>
                <w:sz w:val="28"/>
                <w:szCs w:val="24"/>
              </w:rPr>
            </w:pPr>
            <w:r>
              <w:rPr>
                <w:rFonts w:hint="eastAsia"/>
                <w:sz w:val="28"/>
                <w:szCs w:val="24"/>
              </w:rPr>
              <w:t>根据《闽侯县农村生活污水治理专项规划》和《闽侯县生活污水提升治理五年行动计划(2021</w:t>
            </w:r>
            <w:r>
              <w:rPr>
                <w:rFonts w:hint="eastAsia" w:ascii="宋体" w:hAnsi="宋体" w:eastAsia="宋体"/>
                <w:sz w:val="28"/>
                <w:szCs w:val="24"/>
              </w:rPr>
              <w:t>～</w:t>
            </w:r>
            <w:r>
              <w:rPr>
                <w:rFonts w:hint="eastAsia"/>
                <w:sz w:val="28"/>
                <w:szCs w:val="24"/>
              </w:rPr>
              <w:t>2025年)》，实施1</w:t>
            </w:r>
            <w:r>
              <w:rPr>
                <w:sz w:val="28"/>
                <w:szCs w:val="24"/>
              </w:rPr>
              <w:t>04</w:t>
            </w:r>
            <w:r>
              <w:rPr>
                <w:rFonts w:hint="eastAsia"/>
                <w:sz w:val="28"/>
                <w:szCs w:val="24"/>
              </w:rPr>
              <w:t>个农村生活污水的提升治理项目。完善各乡镇农村生活垃圾收集转运工作。</w:t>
            </w:r>
          </w:p>
          <w:p w14:paraId="65759014">
            <w:pPr>
              <w:spacing w:before="156" w:beforeLines="50"/>
              <w:ind w:firstLine="562"/>
              <w:jc w:val="left"/>
              <w:rPr>
                <w:b/>
                <w:bCs/>
                <w:sz w:val="28"/>
                <w:szCs w:val="24"/>
              </w:rPr>
            </w:pPr>
            <w:r>
              <w:rPr>
                <w:rFonts w:hint="eastAsia"/>
                <w:b/>
                <w:bCs/>
                <w:sz w:val="28"/>
                <w:szCs w:val="24"/>
              </w:rPr>
              <w:t>3.</w:t>
            </w:r>
            <w:r>
              <w:rPr>
                <w:b/>
                <w:bCs/>
                <w:sz w:val="28"/>
                <w:szCs w:val="24"/>
              </w:rPr>
              <w:t xml:space="preserve"> </w:t>
            </w:r>
            <w:r>
              <w:rPr>
                <w:rFonts w:hint="eastAsia"/>
                <w:b/>
                <w:bCs/>
                <w:sz w:val="28"/>
                <w:szCs w:val="24"/>
              </w:rPr>
              <w:t xml:space="preserve">农村面源污染治理 </w:t>
            </w:r>
          </w:p>
          <w:p w14:paraId="5F054D04">
            <w:pPr>
              <w:ind w:firstLine="560"/>
              <w:jc w:val="left"/>
              <w:rPr>
                <w:sz w:val="28"/>
                <w:szCs w:val="24"/>
              </w:rPr>
            </w:pPr>
            <w:r>
              <w:rPr>
                <w:rFonts w:hint="eastAsia"/>
                <w:sz w:val="28"/>
                <w:szCs w:val="24"/>
              </w:rPr>
              <w:t>化肥使用减量化行动。发展绿肥种植、示范推广商品有机肥，实施水稻秸秆还田，推广测土配方施肥技术等。到2025年，全县化肥使用总量(折纯)控制在0.57万吨以内，农作物秸秆综合利用率超过90 %。</w:t>
            </w:r>
          </w:p>
          <w:p w14:paraId="584151BD">
            <w:pPr>
              <w:ind w:firstLine="560"/>
              <w:jc w:val="left"/>
              <w:rPr>
                <w:sz w:val="28"/>
                <w:szCs w:val="24"/>
              </w:rPr>
            </w:pPr>
            <w:r>
              <w:rPr>
                <w:rFonts w:hint="eastAsia"/>
                <w:sz w:val="28"/>
                <w:szCs w:val="24"/>
              </w:rPr>
              <w:t>农药使用减量化行动。推广病虫害生态调控、物理防控、生物防治、高效低毒低残留化学农药等绿色防控技术，推进高效药械替代，开展病虫害统防统治。到2025年，农药使用总量控制在480吨以内。</w:t>
            </w:r>
          </w:p>
          <w:p w14:paraId="25526A8F">
            <w:pPr>
              <w:spacing w:after="156" w:afterLines="50"/>
              <w:ind w:firstLine="560"/>
              <w:jc w:val="left"/>
              <w:rPr>
                <w:sz w:val="28"/>
                <w:szCs w:val="24"/>
              </w:rPr>
            </w:pPr>
            <w:r>
              <w:rPr>
                <w:rFonts w:hint="eastAsia"/>
                <w:sz w:val="28"/>
                <w:szCs w:val="24"/>
              </w:rPr>
              <w:t>实施福建省闽侯县畜禽粪污资源化利用整县推进项目。在闽侯县大湖乡、洋里乡、白沙镇、小箬乡、竹岐乡共14家生猪养殖场和2家规模蛋鸡场，建设有机肥发酵设施、一体化灌溉设施及消纳地灌溉管网、建设资源化利用综合管理系统。项目完成，实现闽侯县内畜禽粪污综合利用率≥95%，养殖场畜禽粪污处理设施装备配套率100%。</w:t>
            </w:r>
          </w:p>
          <w:p w14:paraId="0B06D899">
            <w:pPr>
              <w:spacing w:before="156" w:beforeLines="50"/>
              <w:ind w:firstLine="562"/>
              <w:jc w:val="left"/>
              <w:rPr>
                <w:b/>
                <w:bCs/>
                <w:sz w:val="28"/>
                <w:szCs w:val="24"/>
              </w:rPr>
            </w:pPr>
            <w:r>
              <w:rPr>
                <w:rFonts w:hint="eastAsia"/>
                <w:b/>
                <w:bCs/>
                <w:sz w:val="28"/>
                <w:szCs w:val="24"/>
              </w:rPr>
              <w:t>4.</w:t>
            </w:r>
            <w:r>
              <w:rPr>
                <w:b/>
                <w:bCs/>
                <w:sz w:val="28"/>
                <w:szCs w:val="24"/>
              </w:rPr>
              <w:t xml:space="preserve"> </w:t>
            </w:r>
            <w:r>
              <w:rPr>
                <w:rFonts w:hint="eastAsia"/>
                <w:b/>
                <w:bCs/>
                <w:sz w:val="28"/>
                <w:szCs w:val="24"/>
              </w:rPr>
              <w:t>绿盈乡村及乡村振兴试点村建设</w:t>
            </w:r>
          </w:p>
          <w:p w14:paraId="0F26AAA6">
            <w:pPr>
              <w:ind w:firstLine="560"/>
              <w:jc w:val="left"/>
            </w:pPr>
            <w:r>
              <w:rPr>
                <w:rFonts w:hint="eastAsia"/>
                <w:sz w:val="28"/>
                <w:szCs w:val="24"/>
              </w:rPr>
              <w:t>对照绿盈乡村建设指标，全域开展绿盈乡村建设，逐步提升，梯次达到初、中、高级版绿盈乡村。</w:t>
            </w:r>
          </w:p>
          <w:p w14:paraId="5FDA3900">
            <w:pPr>
              <w:ind w:firstLine="560"/>
              <w:jc w:val="left"/>
              <w:rPr>
                <w:sz w:val="28"/>
                <w:szCs w:val="24"/>
              </w:rPr>
            </w:pPr>
            <w:r>
              <w:rPr>
                <w:rFonts w:hint="eastAsia"/>
                <w:sz w:val="28"/>
                <w:szCs w:val="24"/>
              </w:rPr>
              <w:t>新增“三品一标”产品3个、“一村一品”示范村（专业村）6个以上。新增林下经济项目5个、休闲农业示范点（智慧园）5个以上。</w:t>
            </w:r>
          </w:p>
          <w:p w14:paraId="34D990CC">
            <w:pPr>
              <w:spacing w:after="312" w:afterLines="100"/>
              <w:ind w:firstLine="560"/>
              <w:jc w:val="left"/>
            </w:pPr>
            <w:r>
              <w:rPr>
                <w:rFonts w:hint="eastAsia"/>
                <w:sz w:val="28"/>
                <w:szCs w:val="24"/>
              </w:rPr>
              <w:t>打造乡村振兴示范带14条，省级试点村19个。</w:t>
            </w:r>
          </w:p>
        </w:tc>
      </w:tr>
    </w:tbl>
    <w:p w14:paraId="77411856">
      <w:pPr>
        <w:pStyle w:val="7"/>
        <w:spacing w:line="600" w:lineRule="exact"/>
        <w:ind w:firstLine="0" w:firstLineChars="0"/>
        <w:rPr>
          <w:rFonts w:ascii="黑体" w:hAnsi="黑体" w:eastAsia="黑体" w:cs="Times New Roman"/>
          <w:bCs w:val="0"/>
          <w:sz w:val="40"/>
          <w:szCs w:val="40"/>
        </w:rPr>
      </w:pPr>
      <w:bookmarkStart w:id="89" w:name="_Toc103937013"/>
      <w:bookmarkStart w:id="90" w:name="_Toc103937271"/>
      <w:r>
        <w:rPr>
          <w:rFonts w:ascii="黑体" w:hAnsi="黑体" w:eastAsia="黑体" w:cs="Times New Roman"/>
          <w:bCs w:val="0"/>
          <w:sz w:val="40"/>
          <w:szCs w:val="40"/>
        </w:rPr>
        <w:t>（八）优化生态空间，</w:t>
      </w:r>
      <w:r>
        <w:rPr>
          <w:rFonts w:hint="eastAsia" w:ascii="黑体" w:hAnsi="黑体" w:eastAsia="黑体" w:cs="Times New Roman"/>
          <w:bCs w:val="0"/>
          <w:sz w:val="40"/>
          <w:szCs w:val="40"/>
        </w:rPr>
        <w:t>强化</w:t>
      </w:r>
      <w:r>
        <w:rPr>
          <w:rFonts w:ascii="黑体" w:hAnsi="黑体" w:eastAsia="黑体" w:cs="Times New Roman"/>
          <w:bCs w:val="0"/>
          <w:sz w:val="40"/>
          <w:szCs w:val="40"/>
        </w:rPr>
        <w:t>生态</w:t>
      </w:r>
      <w:bookmarkEnd w:id="86"/>
      <w:r>
        <w:rPr>
          <w:rFonts w:ascii="黑体" w:hAnsi="黑体" w:eastAsia="黑体" w:cs="Times New Roman"/>
          <w:bCs w:val="0"/>
          <w:sz w:val="40"/>
          <w:szCs w:val="40"/>
        </w:rPr>
        <w:t>系统</w:t>
      </w:r>
      <w:bookmarkEnd w:id="87"/>
      <w:bookmarkEnd w:id="88"/>
      <w:r>
        <w:rPr>
          <w:rFonts w:hint="eastAsia" w:ascii="黑体" w:hAnsi="黑体" w:eastAsia="黑体" w:cs="Times New Roman"/>
          <w:bCs w:val="0"/>
          <w:sz w:val="40"/>
          <w:szCs w:val="40"/>
        </w:rPr>
        <w:t>修复治理</w:t>
      </w:r>
      <w:bookmarkEnd w:id="89"/>
      <w:bookmarkEnd w:id="90"/>
    </w:p>
    <w:p w14:paraId="40EE4EAF">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1.落实自然保护地管理</w:t>
      </w:r>
    </w:p>
    <w:p w14:paraId="791D4D92">
      <w:pPr>
        <w:spacing w:line="600" w:lineRule="exact"/>
        <w:ind w:firstLine="640"/>
        <w:rPr>
          <w:bCs/>
          <w:szCs w:val="30"/>
        </w:rPr>
      </w:pPr>
      <w:r>
        <w:rPr>
          <w:rFonts w:hint="eastAsia"/>
          <w:szCs w:val="30"/>
        </w:rPr>
        <w:t>强化自然保护地和生态保护红线常态化监管。细化管控措施，加强自然保护地监管，确保重要生态系统、自然遗迹、自然景观和生物多样性得到有效保护，筑牢生态安全屏障。开展自然保护地和生态保护红线勘界立标工作。定期开展“绿盾”自然保护地监督检查专项行动，及时发现设计自然保护地的违法违规问题。完善生态保护红线监管平台建设，实现生态保护红线常态化监管。</w:t>
      </w:r>
      <w:r>
        <w:rPr>
          <w:bCs/>
          <w:szCs w:val="30"/>
        </w:rPr>
        <w:t>严禁不符合主体功能定位的各类开发活动，严禁任意改变用途。按照“生态功能不降低、面积不减少、性质不改变”的管控目标，坚持全链条防控、全形态治理、全地域保护，统筹推进山水林田湖草一体化保护和修复。全面提升生态文明建设水平，推动建设重点由污染防治攻坚转向提供更多优质生态产品，让山清水秀景美成为</w:t>
      </w:r>
      <w:r>
        <w:rPr>
          <w:rFonts w:hint="eastAsia"/>
          <w:bCs/>
          <w:szCs w:val="30"/>
        </w:rPr>
        <w:t>新时代滨江新城</w:t>
      </w:r>
      <w:r>
        <w:rPr>
          <w:bCs/>
          <w:szCs w:val="30"/>
        </w:rPr>
        <w:t>的生动写照。</w:t>
      </w:r>
    </w:p>
    <w:p w14:paraId="319482F9">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2.加强生物多样性保护</w:t>
      </w:r>
    </w:p>
    <w:p w14:paraId="6148B0F7">
      <w:pPr>
        <w:spacing w:line="600" w:lineRule="exact"/>
        <w:ind w:firstLine="640"/>
        <w:jc w:val="left"/>
        <w:rPr>
          <w:szCs w:val="30"/>
        </w:rPr>
      </w:pPr>
      <w:r>
        <w:rPr>
          <w:rFonts w:hint="eastAsia"/>
          <w:szCs w:val="30"/>
        </w:rPr>
        <w:t>依据《福建省生物多样性保护战略与行动计划</w:t>
      </w:r>
      <w:bookmarkStart w:id="91" w:name="_Hlk102232574"/>
      <w:r>
        <w:rPr>
          <w:rFonts w:hint="eastAsia"/>
          <w:szCs w:val="30"/>
        </w:rPr>
        <w:t>（</w:t>
      </w:r>
      <w:r>
        <w:rPr>
          <w:rFonts w:ascii="仿宋_GB2312" w:hAnsi="仿宋_GB2312" w:cs="仿宋_GB2312"/>
          <w:szCs w:val="30"/>
        </w:rPr>
        <w:t>20</w:t>
      </w:r>
      <w:bookmarkEnd w:id="91"/>
      <w:r>
        <w:rPr>
          <w:rFonts w:ascii="仿宋_GB2312" w:hAnsi="仿宋_GB2312" w:cs="仿宋_GB2312"/>
          <w:szCs w:val="30"/>
        </w:rPr>
        <w:t>14</w:t>
      </w:r>
      <w:r>
        <w:rPr>
          <w:rFonts w:hint="eastAsia" w:ascii="宋体" w:hAnsi="宋体" w:eastAsia="宋体"/>
          <w:szCs w:val="30"/>
        </w:rPr>
        <w:t>～</w:t>
      </w:r>
      <w:r>
        <w:rPr>
          <w:rFonts w:ascii="仿宋_GB2312" w:hAnsi="仿宋_GB2312" w:cs="仿宋_GB2312"/>
          <w:szCs w:val="30"/>
        </w:rPr>
        <w:t>2030</w:t>
      </w:r>
      <w:r>
        <w:rPr>
          <w:rFonts w:hint="eastAsia"/>
          <w:szCs w:val="30"/>
        </w:rPr>
        <w:t>）》，加强自然保护区建设，推进自然保护地整合优化，重点强化闽侯十八重溪风景名胜区、福建旗山国家森林自然公园、福建五虎山国家森林自然公园、闽侯白沙森林自然公园、福州国家森林自然公园（闽侯部分）等</w:t>
      </w:r>
      <w:r>
        <w:rPr>
          <w:szCs w:val="30"/>
        </w:rPr>
        <w:t>5个自然公园保护</w:t>
      </w:r>
      <w:r>
        <w:rPr>
          <w:rFonts w:hint="eastAsia"/>
          <w:szCs w:val="30"/>
        </w:rPr>
        <w:t>，加强森林植被、典型生态系统、野生动植物及其栖息地保护，提高监测能力，实施国家、省重点和极小种群野生动植物拯救措施。加强防范外来物种入侵，在全县疫点乡镇开展松材线虫病综合防控，继续采取采伐改造，松枯死木清理、挂设诱捕器、生物制剂、化学防治等综合防治措施，提高防治成效，逐年减少疫情面积和松枯死木数量。推进河岸湿地和岛屿整治修复工作，加大对湿地巡查保护力度，加快实施陈店湖生态保护和修复工程、塔礁洲湿地保护工程等，</w:t>
      </w:r>
      <w:r>
        <w:rPr>
          <w:rFonts w:hint="eastAsia"/>
        </w:rPr>
        <w:t>把五虎山国家森林公园、塔礁洲和龙祥岛湿地公园，建设成为“三个自然”理念的孕育地、实践地和示范地，全力打造“习近平新时代中国特色社会主义思想学习教育实践基地”。</w:t>
      </w:r>
    </w:p>
    <w:p w14:paraId="2092AD0A">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3.推进生态修复工程</w:t>
      </w:r>
    </w:p>
    <w:p w14:paraId="09A6750C">
      <w:pPr>
        <w:spacing w:line="600" w:lineRule="exact"/>
        <w:ind w:firstLine="640"/>
      </w:pPr>
      <w:r>
        <w:rPr>
          <w:rFonts w:hint="eastAsia"/>
          <w:szCs w:val="30"/>
        </w:rPr>
        <w:t>在完成生态红线评估调整、勘界定标工作基础上，进一步实施生态保护红线生态保护修复工程，严格保护优良生态系统，优先开展水源涵养、生物多样性保护功能、生态保护红线受损生态系统修复。继续实施重要生态区域封山育林，推进闽江流域（闽侯段）一重山造林绿化，进一步优化树种结构，提升森林生态功能。推进重点生态区位商品林赎买政策，探索开展重点生态区位商品林赎买试点。完善生态公益林管护制度，强化生态公益林护林员的监管，确保生态公益林面积不减少。</w:t>
      </w:r>
      <w:r>
        <w:rPr>
          <w:rFonts w:hint="eastAsia"/>
        </w:rPr>
        <w:t>深化河(湖）长制、林长制，加强“山水林田湖草沙”系统治理，</w:t>
      </w:r>
      <w:r>
        <w:rPr>
          <w:rFonts w:hint="eastAsia"/>
          <w:szCs w:val="30"/>
        </w:rPr>
        <w:t>统筹开展山水林田湖草生态修复，</w:t>
      </w:r>
      <w:bookmarkStart w:id="92" w:name="_Hlk102847169"/>
      <w:r>
        <w:rPr>
          <w:rFonts w:hint="eastAsia"/>
        </w:rPr>
        <w:t>全力守护闽侯绿水青山，推动我县生态文明建设再上新台阶。</w:t>
      </w:r>
      <w:bookmarkEnd w:id="92"/>
    </w:p>
    <w:p w14:paraId="682F87BD">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4.统筹推进矿山环境监管</w:t>
      </w:r>
    </w:p>
    <w:p w14:paraId="76919134">
      <w:pPr>
        <w:spacing w:line="600" w:lineRule="exact"/>
        <w:ind w:firstLine="640"/>
        <w:rPr>
          <w:szCs w:val="30"/>
        </w:rPr>
      </w:pPr>
      <w:r>
        <w:rPr>
          <w:szCs w:val="30"/>
        </w:rPr>
        <w:t>加强对矿产资源勘查开发监管，进一步规范矿产资源勘查开发秩序，严厉打击非法违法采矿，坚决取缔无证非法开采矿产资源。开展矿山生态修复专项行动，加强对自然保护区、风景名胜区、重要居民集中区，以及高速公路、国省道等重要交通干线可视范围内的破损山体、残留矿坑进行修复，消除安全隐患。</w:t>
      </w:r>
      <w:bookmarkStart w:id="93" w:name="_Hlk74229898"/>
      <w:r>
        <w:rPr>
          <w:rFonts w:hint="eastAsia"/>
          <w:szCs w:val="30"/>
        </w:rPr>
        <w:t>加强对荆溪、洋里等地废弃矿山整治，</w:t>
      </w:r>
      <w:r>
        <w:rPr>
          <w:szCs w:val="30"/>
        </w:rPr>
        <w:t>统筹推进矿山地质环境治理</w:t>
      </w:r>
      <w:bookmarkEnd w:id="93"/>
      <w:r>
        <w:rPr>
          <w:szCs w:val="30"/>
        </w:rPr>
        <w:t>、水资源保护、土壤质量修复、植被恢复等工作，实施矿山</w:t>
      </w:r>
      <w:r>
        <w:rPr>
          <w:rFonts w:hint="eastAsia"/>
          <w:szCs w:val="30"/>
        </w:rPr>
        <w:t>“</w:t>
      </w:r>
      <w:r>
        <w:rPr>
          <w:szCs w:val="30"/>
        </w:rPr>
        <w:t>复绿</w:t>
      </w:r>
      <w:r>
        <w:rPr>
          <w:rFonts w:hint="eastAsia"/>
          <w:szCs w:val="30"/>
        </w:rPr>
        <w:t>”工</w:t>
      </w:r>
      <w:r>
        <w:rPr>
          <w:szCs w:val="30"/>
        </w:rPr>
        <w:t>程，对废弃矿山山体进行绿化美化，将有条件的打造成矿山公园。</w:t>
      </w:r>
    </w:p>
    <w:p w14:paraId="3A40CB0D">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5.开展水土保持综合治理</w:t>
      </w:r>
    </w:p>
    <w:p w14:paraId="46E96B78">
      <w:pPr>
        <w:spacing w:line="600" w:lineRule="exact"/>
        <w:ind w:firstLine="640"/>
        <w:rPr>
          <w:szCs w:val="30"/>
        </w:rPr>
      </w:pPr>
      <w:r>
        <w:rPr>
          <w:rFonts w:hint="eastAsia"/>
          <w:szCs w:val="30"/>
        </w:rPr>
        <w:t>继续加大水土流失治理力度，积极实施水土保持工程。</w:t>
      </w:r>
      <w:r>
        <w:rPr>
          <w:szCs w:val="30"/>
        </w:rPr>
        <w:t>对水源地流域开展水土保持综合治理，从源头上减少水土流失，减轻土壤侵蚀，丰富水源地物种。坚持</w:t>
      </w:r>
      <w:r>
        <w:rPr>
          <w:rFonts w:hint="eastAsia"/>
          <w:szCs w:val="30"/>
        </w:rPr>
        <w:t>“</w:t>
      </w:r>
      <w:r>
        <w:rPr>
          <w:szCs w:val="30"/>
        </w:rPr>
        <w:t>预防为主，全面规划，综合防治，因地制宜，加强管理，注重效益</w:t>
      </w:r>
      <w:r>
        <w:rPr>
          <w:rFonts w:hint="eastAsia"/>
          <w:szCs w:val="30"/>
        </w:rPr>
        <w:t>”</w:t>
      </w:r>
      <w:r>
        <w:rPr>
          <w:szCs w:val="30"/>
        </w:rPr>
        <w:t>的工作方针，实施以小流域为单元的水土保持综合治理，建设清洁小流域</w:t>
      </w:r>
      <w:r>
        <w:rPr>
          <w:rFonts w:hint="eastAsia"/>
          <w:szCs w:val="30"/>
        </w:rPr>
        <w:t>，</w:t>
      </w:r>
      <w:r>
        <w:rPr>
          <w:szCs w:val="30"/>
        </w:rPr>
        <w:t>强化开发建设项目水土流失预防及水土流失防治方案的实施监督。</w:t>
      </w:r>
    </w:p>
    <w:p w14:paraId="71385C8A">
      <w:pPr>
        <w:widowControl/>
        <w:spacing w:before="312" w:beforeLines="100" w:line="600" w:lineRule="exact"/>
        <w:ind w:firstLine="0" w:firstLineChars="0"/>
        <w:jc w:val="center"/>
        <w:rPr>
          <w:b/>
          <w:bCs/>
          <w:szCs w:val="30"/>
        </w:rPr>
      </w:pPr>
      <w:r>
        <w:rPr>
          <w:rFonts w:hint="eastAsia"/>
          <w:b/>
          <w:bCs/>
          <w:szCs w:val="30"/>
        </w:rPr>
        <w:t xml:space="preserve">专栏 </w:t>
      </w:r>
      <w:r>
        <w:rPr>
          <w:b/>
          <w:bCs/>
          <w:szCs w:val="30"/>
        </w:rPr>
        <w:t>6</w:t>
      </w:r>
      <w:r>
        <w:rPr>
          <w:rFonts w:hint="eastAsia"/>
          <w:b/>
          <w:bCs/>
          <w:szCs w:val="30"/>
        </w:rPr>
        <w:t xml:space="preserve"> 生态修复重点工程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490C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9464" w:type="dxa"/>
          </w:tcPr>
          <w:p w14:paraId="7F8E6D56">
            <w:pPr>
              <w:pStyle w:val="2"/>
              <w:spacing w:before="156" w:beforeLines="50" w:after="156" w:afterLines="50" w:afterAutospacing="0"/>
              <w:ind w:firstLine="560"/>
            </w:pPr>
            <w:r>
              <w:rPr>
                <w:rFonts w:hint="eastAsia" w:ascii="Times New Roman" w:hAnsi="Times New Roman" w:cs="Times New Roman"/>
                <w:sz w:val="28"/>
                <w:szCs w:val="24"/>
              </w:rPr>
              <w:t>实施闽侯江滩生态修复和保肥复绿工程、乌龙江（祥谦段）沿岸生态修复提升工程、青口镇梅溪安全生态水系建设项目、南通片区洋中溪（商贸大道至出口段）生态综合整治项目、福州地区大学新校区旗山湖溪源江景观提升工程。</w:t>
            </w:r>
          </w:p>
        </w:tc>
      </w:tr>
    </w:tbl>
    <w:p w14:paraId="351D888B">
      <w:pPr>
        <w:pStyle w:val="7"/>
        <w:spacing w:line="600" w:lineRule="exact"/>
        <w:ind w:firstLine="0" w:firstLineChars="0"/>
        <w:rPr>
          <w:rFonts w:ascii="黑体" w:hAnsi="黑体" w:eastAsia="黑体" w:cs="Times New Roman"/>
          <w:bCs w:val="0"/>
          <w:sz w:val="40"/>
          <w:szCs w:val="40"/>
        </w:rPr>
      </w:pPr>
      <w:bookmarkStart w:id="94" w:name="_Toc103937272"/>
      <w:bookmarkStart w:id="95" w:name="_Toc103937014"/>
      <w:bookmarkStart w:id="96" w:name="_Toc72246631"/>
      <w:bookmarkStart w:id="97" w:name="_Toc72148494"/>
      <w:bookmarkStart w:id="98" w:name="_Toc61785998"/>
      <w:r>
        <w:rPr>
          <w:rFonts w:ascii="黑体" w:hAnsi="黑体" w:eastAsia="黑体" w:cs="Times New Roman"/>
          <w:bCs w:val="0"/>
          <w:sz w:val="40"/>
          <w:szCs w:val="40"/>
        </w:rPr>
        <w:t>（九）强化风险防控，严守</w:t>
      </w:r>
      <w:r>
        <w:rPr>
          <w:rFonts w:hint="eastAsia" w:ascii="黑体" w:hAnsi="黑体" w:eastAsia="黑体" w:cs="Times New Roman"/>
          <w:bCs w:val="0"/>
          <w:sz w:val="40"/>
          <w:szCs w:val="40"/>
        </w:rPr>
        <w:t>生态</w:t>
      </w:r>
      <w:r>
        <w:rPr>
          <w:rFonts w:ascii="黑体" w:hAnsi="黑体" w:eastAsia="黑体" w:cs="Times New Roman"/>
          <w:bCs w:val="0"/>
          <w:sz w:val="40"/>
          <w:szCs w:val="40"/>
        </w:rPr>
        <w:t>环境安全底线</w:t>
      </w:r>
      <w:bookmarkEnd w:id="94"/>
      <w:bookmarkEnd w:id="95"/>
      <w:bookmarkEnd w:id="96"/>
      <w:bookmarkEnd w:id="97"/>
      <w:bookmarkEnd w:id="98"/>
    </w:p>
    <w:p w14:paraId="2B5F08FB">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1.强化生态环境风险预警防控与应急</w:t>
      </w:r>
    </w:p>
    <w:p w14:paraId="619A9729">
      <w:pPr>
        <w:spacing w:line="600" w:lineRule="exact"/>
        <w:ind w:firstLine="643"/>
        <w:rPr>
          <w:szCs w:val="30"/>
        </w:rPr>
      </w:pPr>
      <w:r>
        <w:rPr>
          <w:rFonts w:hint="eastAsia"/>
          <w:b/>
          <w:szCs w:val="30"/>
        </w:rPr>
        <w:t>全面加强应急能力建设。</w:t>
      </w:r>
      <w:r>
        <w:rPr>
          <w:rFonts w:hint="eastAsia"/>
          <w:szCs w:val="30"/>
        </w:rPr>
        <w:t>依据新增防控要求修编突发环境事件应急预案。结合闽侯县实际，在开展行政区域环境风险评估基础上，结合当地实际，及时修订政府环境应急预案，并加以落实。完善土壤、地下水等方面的应急预案。更新环境应急预案备案的企业名录，督促名录内未编制或未修订预案的企业开展预案编修、备案，加强重点污染企业内部环境风险应急预案管理。制定和完善突发公共卫生事件应急预案。强化部门联动合作，实现信息资源共享，完善应急工作网络覆盖。</w:t>
      </w:r>
    </w:p>
    <w:p w14:paraId="4057A6BA">
      <w:pPr>
        <w:spacing w:line="600" w:lineRule="exact"/>
        <w:ind w:firstLine="643"/>
        <w:rPr>
          <w:szCs w:val="30"/>
        </w:rPr>
      </w:pPr>
      <w:r>
        <w:rPr>
          <w:rFonts w:hint="eastAsia"/>
          <w:b/>
          <w:szCs w:val="30"/>
        </w:rPr>
        <w:t>提高环境监测预警防范能力。</w:t>
      </w:r>
      <w:r>
        <w:rPr>
          <w:rFonts w:hint="eastAsia"/>
          <w:szCs w:val="30"/>
        </w:rPr>
        <w:t xml:space="preserve">开展工业 </w:t>
      </w:r>
      <w:bookmarkStart w:id="99" w:name="_Hlk102232618"/>
      <w:r>
        <w:rPr>
          <w:rFonts w:ascii="仿宋_GB2312" w:hAnsi="仿宋_GB2312" w:cs="仿宋_GB2312"/>
          <w:szCs w:val="30"/>
        </w:rPr>
        <w:t>VOCs</w:t>
      </w:r>
      <w:bookmarkEnd w:id="99"/>
      <w:r>
        <w:rPr>
          <w:rFonts w:hint="eastAsia"/>
          <w:szCs w:val="30"/>
        </w:rPr>
        <w:t xml:space="preserve"> 污染防治技术实施有效性评估、工业源和流动源</w:t>
      </w:r>
      <w:r>
        <w:rPr>
          <w:rFonts w:ascii="仿宋_GB2312" w:hAnsi="仿宋_GB2312" w:cs="仿宋_GB2312"/>
          <w:szCs w:val="30"/>
        </w:rPr>
        <w:t>NOx</w:t>
      </w:r>
      <w:r>
        <w:rPr>
          <w:rFonts w:hint="eastAsia"/>
          <w:szCs w:val="30"/>
        </w:rPr>
        <w:t>减排技术、空气质量和气象预报预警技术、不同季节和天气形势下高污染预报、应急和季节性错峰生产调控决策技术等一批重点项目的研究工作。建立健全跨区域空气质量监测预警机制，依托福建生态云平台的大数据支撑，共享大气环境质量监测、污染源清单、污染治理运行情况等信息，提高轻微污染天气、臭氧污染天气防范与应急处置能力。完善重点园区空气环境污染应急预案，相关企业制定“一厂一策”实施方案。</w:t>
      </w:r>
    </w:p>
    <w:p w14:paraId="360CE4B1">
      <w:pPr>
        <w:spacing w:line="600" w:lineRule="exact"/>
        <w:ind w:firstLine="643"/>
        <w:rPr>
          <w:szCs w:val="30"/>
        </w:rPr>
      </w:pPr>
      <w:r>
        <w:rPr>
          <w:rFonts w:hint="eastAsia"/>
          <w:b/>
          <w:szCs w:val="30"/>
        </w:rPr>
        <w:t>提高环保监管与风险处置能力。</w:t>
      </w:r>
      <w:r>
        <w:rPr>
          <w:rFonts w:hint="eastAsia"/>
          <w:szCs w:val="30"/>
        </w:rPr>
        <w:t>完善“属地管理、分级负责、全面覆盖、责任到人”的环保网格监管体系，健全四级网格联动机制。结合生态云平台，建立健全覆盖全乡的突发环境事件应急救援网络，提高与环境风险程度、污染物种类等相匹配的突发环境事件应急处置能力。建立突发环境事件信息速报机制，严格信息报送。科学应对、处置突发环境时间，强化信息公开，并做好事后管理工作。</w:t>
      </w:r>
    </w:p>
    <w:p w14:paraId="356F49A2">
      <w:pPr>
        <w:spacing w:line="600" w:lineRule="exact"/>
        <w:ind w:firstLine="643"/>
        <w:rPr>
          <w:szCs w:val="30"/>
        </w:rPr>
      </w:pPr>
      <w:r>
        <w:rPr>
          <w:rFonts w:hint="eastAsia"/>
          <w:b/>
          <w:szCs w:val="30"/>
        </w:rPr>
        <w:t>强化环境应急支撑保障。</w:t>
      </w:r>
      <w:r>
        <w:rPr>
          <w:rFonts w:hint="eastAsia"/>
          <w:szCs w:val="30"/>
        </w:rPr>
        <w:t>定期开展突发环境事件应急演练，增加实战能力。加强环境应急管理队伍建设。</w:t>
      </w:r>
    </w:p>
    <w:p w14:paraId="4D63C690">
      <w:pPr>
        <w:spacing w:line="600" w:lineRule="exact"/>
        <w:ind w:firstLine="643"/>
        <w:rPr>
          <w:szCs w:val="30"/>
        </w:rPr>
      </w:pPr>
      <w:r>
        <w:rPr>
          <w:rFonts w:hint="eastAsia"/>
          <w:b/>
          <w:szCs w:val="30"/>
        </w:rPr>
        <w:t>加强突发环境事件隐患排查。</w:t>
      </w:r>
      <w:r>
        <w:rPr>
          <w:rFonts w:hint="eastAsia"/>
          <w:szCs w:val="30"/>
        </w:rPr>
        <w:t>健全企业、园区和重要环境敏感点的三级防控体系。全面推行“双随机一公开”监管，加大环境监管巡查、巡检力度。督促企业按照《企业突发环境事件隐患排查指南和治理工作指南（试行）》和突发环境事件应急预案等要求，全面排查治理突发环境事件隐患，自觉开展突发环境事件隐患排查和整改，落实企业环境安全主体责任。</w:t>
      </w:r>
    </w:p>
    <w:p w14:paraId="49892B55">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2.提高专项环境风险防范能力建设</w:t>
      </w:r>
    </w:p>
    <w:p w14:paraId="5D865115">
      <w:pPr>
        <w:spacing w:line="600" w:lineRule="exact"/>
        <w:ind w:firstLine="643"/>
        <w:rPr>
          <w:szCs w:val="30"/>
        </w:rPr>
      </w:pPr>
      <w:r>
        <w:rPr>
          <w:rFonts w:hint="eastAsia"/>
          <w:b/>
          <w:szCs w:val="30"/>
        </w:rPr>
        <w:t>提高突发公共卫生事件处置能力。</w:t>
      </w:r>
      <w:r>
        <w:rPr>
          <w:rFonts w:hint="eastAsia"/>
          <w:szCs w:val="30"/>
        </w:rPr>
        <w:t>加强疾病预防控制检验检测和应急快速检测技术平台建设完善疾病预防控制体系，完善综合卫生监督体系。落实医疗废物应急处置能力，确保突发疫情、处置设施检修等期间医疗废物的安全处置。</w:t>
      </w:r>
    </w:p>
    <w:p w14:paraId="013050D9">
      <w:pPr>
        <w:spacing w:line="600" w:lineRule="exact"/>
        <w:ind w:firstLine="643"/>
        <w:rPr>
          <w:szCs w:val="30"/>
        </w:rPr>
      </w:pPr>
      <w:r>
        <w:rPr>
          <w:rFonts w:hint="eastAsia"/>
          <w:b/>
          <w:szCs w:val="30"/>
        </w:rPr>
        <w:t>加强重点区域环境风险防控。</w:t>
      </w:r>
      <w:r>
        <w:rPr>
          <w:rFonts w:hint="eastAsia"/>
          <w:szCs w:val="30"/>
        </w:rPr>
        <w:t>完善工业园区、工业企业、饮用水源地及其汇水区等环境敏感区环境突发事件风险防控，建立预防、应急响应机制和后评估机制，落实应急措施和物资。根据实际情况推进企业间事故应急池互联互通，合理建设园区隔离带和绿色防护带。对河流、湖（库）汇水范围内的工业企业、工业集聚区环境风险进行定期评估，定期开展监督评估，落实防控措施。开展工业园区突发环境事件风险评估，完善园区层级突发环境事件应急预案，开展工业园区环境风险预警体系建设试点，落实有效的环境风险防控设施。加强水资源供给风险管控，优化水资源调配，加强水资源紧缺季节生态补水，加强闽江等重要河湖生态流量监测预警能力建设。完善突发水环境事件应急预案，稳妥处置突发水环境污染事件，定期开展应急演练。</w:t>
      </w:r>
    </w:p>
    <w:p w14:paraId="79133B75">
      <w:pPr>
        <w:pStyle w:val="7"/>
        <w:spacing w:line="600" w:lineRule="exact"/>
        <w:ind w:firstLine="0" w:firstLineChars="0"/>
        <w:rPr>
          <w:rFonts w:ascii="黑体" w:hAnsi="黑体" w:eastAsia="黑体" w:cs="Times New Roman"/>
          <w:bCs w:val="0"/>
          <w:sz w:val="40"/>
          <w:szCs w:val="40"/>
        </w:rPr>
      </w:pPr>
      <w:bookmarkStart w:id="100" w:name="_Toc103937273"/>
      <w:bookmarkStart w:id="101" w:name="_Toc61786006"/>
      <w:bookmarkStart w:id="102" w:name="_Toc72148495"/>
      <w:bookmarkStart w:id="103" w:name="_Toc72246632"/>
      <w:bookmarkStart w:id="104" w:name="_Toc103937015"/>
      <w:r>
        <w:rPr>
          <w:rFonts w:ascii="黑体" w:hAnsi="黑体" w:eastAsia="黑体" w:cs="Times New Roman"/>
          <w:bCs w:val="0"/>
          <w:sz w:val="40"/>
          <w:szCs w:val="40"/>
        </w:rPr>
        <w:t>（十）完善生态制度，构建现代环境治理体系</w:t>
      </w:r>
      <w:bookmarkEnd w:id="100"/>
      <w:bookmarkEnd w:id="101"/>
      <w:bookmarkEnd w:id="102"/>
      <w:bookmarkEnd w:id="103"/>
      <w:bookmarkEnd w:id="104"/>
    </w:p>
    <w:p w14:paraId="1657CFF0">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1.健全党委政府责任体系</w:t>
      </w:r>
    </w:p>
    <w:p w14:paraId="4E5AE29B">
      <w:pPr>
        <w:spacing w:line="600" w:lineRule="exact"/>
        <w:ind w:firstLine="640"/>
        <w:rPr>
          <w:szCs w:val="30"/>
        </w:rPr>
      </w:pPr>
      <w:r>
        <w:rPr>
          <w:rFonts w:hint="eastAsia"/>
          <w:szCs w:val="30"/>
        </w:rPr>
        <w:t>全面贯彻习近平新时代中国特色社会主义思想和党的十九届六中全会精神，深入贯彻习近平生态文明思想，推动落实生态环境保护“党政同责，一岗双责”，深入打好污染防治攻坚战。牢固树立闽侯县生态环境保护“管行业必须管环保”兜底思维，落实生态环境保护责任清单。</w:t>
      </w:r>
    </w:p>
    <w:p w14:paraId="1EB9CA22">
      <w:pPr>
        <w:pStyle w:val="2"/>
        <w:spacing w:line="600" w:lineRule="exact"/>
        <w:ind w:firstLine="640"/>
      </w:pPr>
      <w:r>
        <w:rPr>
          <w:rFonts w:hint="eastAsia"/>
        </w:rPr>
        <w:t>坚持按照依法依规、党政同责、客观公正、科学认定、归属明晰、全责一致、多方联动、终身追究的原则，坚持生态环境保护“属地管理”、“谁主管谁负责”的原则，建立“管发展必须管环保、管生产必须管环保、管行业必须管环保”的生态环境保护工作责任体系。同时，实行最严格的生态环境保护制度，形成条块结合、各司其职、全责明确、保障有方、权威高效的生态环境保护体制机制。</w:t>
      </w:r>
    </w:p>
    <w:p w14:paraId="6361DBEE">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2.健全环境治理企业责任体系</w:t>
      </w:r>
    </w:p>
    <w:p w14:paraId="0F82A924">
      <w:pPr>
        <w:spacing w:line="600" w:lineRule="exact"/>
        <w:ind w:firstLine="640"/>
        <w:rPr>
          <w:szCs w:val="30"/>
        </w:rPr>
      </w:pPr>
      <w:r>
        <w:rPr>
          <w:szCs w:val="30"/>
        </w:rPr>
        <w:t>依法实行排污许可管理。认真落实《排污许可管理条例》，依法核发排污许可证，排污者必须持证排污，禁止无证排污或不按许可证规定排污。实施工业污染源全面达标排放行动和区域性、流域性、行业性差别化总量控制制度。</w:t>
      </w:r>
    </w:p>
    <w:p w14:paraId="7D43A2B2">
      <w:pPr>
        <w:spacing w:line="600" w:lineRule="exact"/>
        <w:ind w:firstLine="640"/>
        <w:rPr>
          <w:szCs w:val="30"/>
        </w:rPr>
      </w:pPr>
      <w:r>
        <w:rPr>
          <w:szCs w:val="30"/>
        </w:rPr>
        <w:t>推进生产服务绿色化。加快推动科技创新、产业结构调整，坚决依法依规淘汰落后生产工艺技术，推广先进适用的清洁生产技术，鼓励工业产品绿色设计。实施高消耗高排放产业清洁化改造，加强能耗、水耗、建设用地等总量和强度双控，强化碳排放强度控制。落实生产者责任延伸制度，完善产品全生命周期绿色管理。</w:t>
      </w:r>
    </w:p>
    <w:p w14:paraId="209CB5AA">
      <w:pPr>
        <w:spacing w:line="600" w:lineRule="exact"/>
        <w:ind w:firstLine="640"/>
        <w:rPr>
          <w:szCs w:val="30"/>
        </w:rPr>
      </w:pPr>
      <w:r>
        <w:rPr>
          <w:szCs w:val="30"/>
        </w:rPr>
        <w:t>提高治污能力和水平。建立企业环境治理责任制度，督促企业严格执行法律法规，落实生态环境保护污染防治、风险防控主体责任，接受社会监督。</w:t>
      </w:r>
    </w:p>
    <w:p w14:paraId="19E246D6">
      <w:pPr>
        <w:spacing w:line="600" w:lineRule="exact"/>
        <w:ind w:firstLine="640"/>
        <w:rPr>
          <w:szCs w:val="30"/>
        </w:rPr>
      </w:pPr>
      <w:r>
        <w:rPr>
          <w:szCs w:val="30"/>
        </w:rPr>
        <w:t>公开环境治理信息。引导排污企业依法公开主要污染物名称、排放方式、执行标准以及污染防治设施建设和运行情况，并对信息真实性负责。推进环保设施有序向公众开放，鼓励排污企业在确保安全生产前提下，通过设立企业开放日、建设教育体验场所等形式向社会公众开放。</w:t>
      </w:r>
    </w:p>
    <w:p w14:paraId="27D690B5">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3.健全环境治理全民参与体系</w:t>
      </w:r>
    </w:p>
    <w:p w14:paraId="32627E6C">
      <w:pPr>
        <w:spacing w:line="600" w:lineRule="exact"/>
        <w:ind w:firstLine="640"/>
        <w:rPr>
          <w:szCs w:val="30"/>
        </w:rPr>
      </w:pPr>
      <w:r>
        <w:rPr>
          <w:szCs w:val="30"/>
        </w:rPr>
        <w:t>强化社会监督。健全举报反馈、听证、舆论监督等公众参与机制，鼓励设立有奖举报制度，实施生态环境质量信息和信访件办理情况等定期公开通报制度，按时发布辖区内集中式饮用水水源地、主要河流重点断面、重点湖库水质状况、环境空气质量状况，声环境质量状况、污染源信息、重污染行业企业环境等信息，保障公众知情权、参与权和监督权。鼓励新闻媒体曝光各类生态环境违法行为，引导具备资格的环保组织依法开展生态环境公益诉讼等活动，支持引导社会组织、环保志愿者在生态环境监管、行政许可、政策制定、监督企业履行生态环境保护责任等方面发挥积极作用。</w:t>
      </w:r>
    </w:p>
    <w:p w14:paraId="5E57D452">
      <w:pPr>
        <w:spacing w:line="600" w:lineRule="exact"/>
        <w:ind w:firstLine="640"/>
        <w:rPr>
          <w:szCs w:val="30"/>
        </w:rPr>
      </w:pPr>
      <w:r>
        <w:rPr>
          <w:szCs w:val="30"/>
        </w:rPr>
        <w:t>发挥各类社会团体作用。群团组织要积极动员广大职工、青年、妇女参与环境治理，带头践行绿色生活方式。行业协会、商会要发挥桥梁纽带作用，促进节能、降耗、治污、减排行业自律。加强对各类社会组织的管理和指导，推动社会治理和服务重心向基层下移。大力发挥环保志愿者作用，带动公众开展环保公益活动。</w:t>
      </w:r>
    </w:p>
    <w:p w14:paraId="5CB7462E">
      <w:pPr>
        <w:spacing w:line="600" w:lineRule="exact"/>
        <w:ind w:firstLine="640"/>
        <w:rPr>
          <w:szCs w:val="30"/>
        </w:rPr>
      </w:pPr>
      <w:r>
        <w:rPr>
          <w:szCs w:val="30"/>
        </w:rPr>
        <w:t>提高公民环保素养。把生态环境保护纳入国民教育体系和干部培训内容，鼓励企业把生态文明建设理念纳入到企业文化体系建设中，推动环境保护宣传教育进机关、学校、家庭、社区、工厂。挖掘本土生态文化资源，建立生态环境保护教育基地，倡导简约适度、绿色低碳生活方式，引导公民自觉履行生态环境保护责任。</w:t>
      </w:r>
    </w:p>
    <w:p w14:paraId="334C740C">
      <w:pPr>
        <w:pStyle w:val="8"/>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4.健全环境治理管理体系</w:t>
      </w:r>
    </w:p>
    <w:p w14:paraId="40E4552A">
      <w:pPr>
        <w:spacing w:line="600" w:lineRule="exact"/>
        <w:ind w:firstLine="640"/>
      </w:pPr>
      <w:r>
        <w:rPr>
          <w:szCs w:val="30"/>
        </w:rPr>
        <w:t>完善监管体制。巩固生态环境机构监测监察执法垂直管理制度改革成果，规范干部管理、党的建设、纪检监察工作，建立健全正向激励、容错纠错、尽职免责、职业风险保障等机制。深化生态环境保护综合行政执法改革，加强县级执法队伍建设。贯彻实施</w:t>
      </w:r>
      <w:r>
        <w:rPr>
          <w:rFonts w:hint="eastAsia"/>
          <w:szCs w:val="30"/>
        </w:rPr>
        <w:t>“</w:t>
      </w:r>
      <w:r>
        <w:rPr>
          <w:szCs w:val="30"/>
        </w:rPr>
        <w:t>双随机、一公开</w:t>
      </w:r>
      <w:r>
        <w:rPr>
          <w:rFonts w:hint="eastAsia"/>
          <w:szCs w:val="30"/>
        </w:rPr>
        <w:t>”</w:t>
      </w:r>
      <w:r>
        <w:rPr>
          <w:szCs w:val="30"/>
        </w:rPr>
        <w:t>环境监管模式，完善县、乡、村三级联动的网格化环境执法机制，以点带面铺开全县网格监管。</w:t>
      </w:r>
      <w:r>
        <w:rPr>
          <w:rFonts w:hint="eastAsia"/>
        </w:rPr>
        <w:t>强化生态环保行政执法、刑事司法联动，完善生态环境损害赔偿和公益诉讼制度，加大环境违法行为打击力度。</w:t>
      </w:r>
    </w:p>
    <w:p w14:paraId="487B7502">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5.完善环境资源市场体系</w:t>
      </w:r>
    </w:p>
    <w:p w14:paraId="7F56615D">
      <w:pPr>
        <w:spacing w:line="600" w:lineRule="exact"/>
        <w:ind w:firstLine="640"/>
        <w:rPr>
          <w:szCs w:val="30"/>
        </w:rPr>
      </w:pPr>
      <w:r>
        <w:rPr>
          <w:szCs w:val="30"/>
        </w:rPr>
        <w:t>构建规范开放的市场。推进生态环境领域</w:t>
      </w:r>
      <w:r>
        <w:rPr>
          <w:rFonts w:hint="eastAsia"/>
          <w:szCs w:val="30"/>
        </w:rPr>
        <w:t>“</w:t>
      </w:r>
      <w:r>
        <w:rPr>
          <w:szCs w:val="30"/>
        </w:rPr>
        <w:t>放管服</w:t>
      </w:r>
      <w:r>
        <w:rPr>
          <w:rFonts w:hint="eastAsia"/>
          <w:szCs w:val="30"/>
        </w:rPr>
        <w:t>”</w:t>
      </w:r>
      <w:r>
        <w:rPr>
          <w:szCs w:val="30"/>
        </w:rPr>
        <w:t>改革，在环境污染治理、生态修复、环保技术装备开发等方面，研究出台支持政策，吸引各类市场主体，引导各类资本，参与环境治理投资、建设、运行。加强环境治理市场监管，规范市场秩序，加强行业自律，减少恶性竞争，加快形成公开透明、规范有序的环境治理市场环境；强化环保产业支撑，加强关键环保技术产品自主创新，加快提高环保产业技术装备水平。</w:t>
      </w:r>
    </w:p>
    <w:p w14:paraId="49B263FB">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6.建立环境治理信用体系</w:t>
      </w:r>
    </w:p>
    <w:p w14:paraId="47CF266F">
      <w:pPr>
        <w:spacing w:line="600" w:lineRule="exact"/>
        <w:ind w:firstLine="640"/>
        <w:rPr>
          <w:szCs w:val="30"/>
        </w:rPr>
      </w:pPr>
      <w:r>
        <w:rPr>
          <w:szCs w:val="30"/>
        </w:rPr>
        <w:t>加强政务诚信建设。建立环境治理政务失信记录，将各级政府和公职人员在生态环境保护工作中，因违法违规、失信违约被司法判决、行政处罚、纪律处分、问责处理信息，纳入政务失信记录，并归集至相关信用信息共享平台，依托各级信用门户网站，依法依规逐步公开。</w:t>
      </w:r>
    </w:p>
    <w:p w14:paraId="433C2314">
      <w:pPr>
        <w:spacing w:line="600" w:lineRule="exact"/>
        <w:ind w:firstLine="640"/>
      </w:pPr>
      <w:r>
        <w:rPr>
          <w:szCs w:val="30"/>
        </w:rPr>
        <w:t>完善企业环境信用评价体系，将污染物排放总量大、环境风险高、生态环境影响大的企业，强制纳入环境信用评价范围。构建守信激励与失信惩戒机制，建立企业</w:t>
      </w:r>
      <w:r>
        <w:rPr>
          <w:rFonts w:hint="eastAsia"/>
          <w:szCs w:val="30"/>
        </w:rPr>
        <w:t>“</w:t>
      </w:r>
      <w:r>
        <w:rPr>
          <w:szCs w:val="30"/>
        </w:rPr>
        <w:t>黑名单</w:t>
      </w:r>
      <w:r>
        <w:rPr>
          <w:rFonts w:hint="eastAsia"/>
          <w:szCs w:val="30"/>
        </w:rPr>
        <w:t>”</w:t>
      </w:r>
      <w:r>
        <w:rPr>
          <w:szCs w:val="30"/>
        </w:rPr>
        <w:t>制度，及时通报环境违法企业，将排污企业的环境违法信息及行为记入公共信用信息平台，及时向全社会公布违法排污者名单，严格限制环境违法企业贷款。积极推进绿色保险和环境污染责任保险，在环境高风险领域建立环境污染强制责任保险制度。</w:t>
      </w:r>
    </w:p>
    <w:p w14:paraId="28C3A864">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7.推进建设环境法治体系</w:t>
      </w:r>
    </w:p>
    <w:p w14:paraId="17E33225">
      <w:pPr>
        <w:spacing w:line="600" w:lineRule="exact"/>
        <w:ind w:firstLine="640"/>
        <w:rPr>
          <w:szCs w:val="30"/>
        </w:rPr>
      </w:pPr>
      <w:r>
        <w:rPr>
          <w:szCs w:val="30"/>
        </w:rPr>
        <w:t>贯彻落实国家和我省环境保护、生态环境监测、生物多样性保护、排污许可、水排放权、碳排放权交易管理条例等方面的法律、法规和政策。</w:t>
      </w:r>
      <w:r>
        <w:rPr>
          <w:rFonts w:hint="eastAsia"/>
          <w:szCs w:val="30"/>
        </w:rPr>
        <w:t>建立地上地下、水陆统筹的生态环境治理制度，推进排污权、用能权、用水权、碳排放权市场化交易。</w:t>
      </w:r>
    </w:p>
    <w:p w14:paraId="0D1B7190">
      <w:pPr>
        <w:spacing w:line="600" w:lineRule="exact"/>
        <w:ind w:firstLine="640"/>
        <w:rPr>
          <w:szCs w:val="30"/>
        </w:rPr>
      </w:pPr>
      <w:r>
        <w:rPr>
          <w:szCs w:val="30"/>
        </w:rPr>
        <w:t>通过传统媒体与新媒体开展生态环境法治宣传教育，刊发习近平生态文明思想和习近平总书记全面依法治国新理念新思想新战略，增强群众环境法治意识和法治观念。将严格的监管执法与引导企业守法自律相结合，强化落实企业环境守法意识和主体责任。</w:t>
      </w:r>
    </w:p>
    <w:p w14:paraId="55754FA6">
      <w:pPr>
        <w:spacing w:line="600" w:lineRule="exact"/>
        <w:ind w:firstLine="640"/>
        <w:rPr>
          <w:szCs w:val="30"/>
        </w:rPr>
      </w:pPr>
      <w:r>
        <w:rPr>
          <w:szCs w:val="30"/>
        </w:rPr>
        <w:t>统筹推动全系统法治建设，坚持全县上下</w:t>
      </w:r>
      <w:r>
        <w:rPr>
          <w:rFonts w:hint="eastAsia"/>
          <w:szCs w:val="30"/>
        </w:rPr>
        <w:t>“</w:t>
      </w:r>
      <w:r>
        <w:rPr>
          <w:szCs w:val="30"/>
        </w:rPr>
        <w:t>一盘棋</w:t>
      </w:r>
      <w:r>
        <w:rPr>
          <w:rFonts w:hint="eastAsia"/>
          <w:szCs w:val="30"/>
        </w:rPr>
        <w:t>”</w:t>
      </w:r>
      <w:r>
        <w:rPr>
          <w:szCs w:val="30"/>
        </w:rPr>
        <w:t>，制定全县生态环境系统关于深入推进依法行政，做好全县生态环境系统法治建设工作要求，增强依法行政和依法履职的责任意识，部署督促各地落实全县生态环境执法、守法、普法等方面目标任务。</w:t>
      </w:r>
    </w:p>
    <w:p w14:paraId="1A3CFE7E">
      <w:pPr>
        <w:spacing w:line="600" w:lineRule="exact"/>
        <w:ind w:firstLine="640"/>
        <w:rPr>
          <w:szCs w:val="30"/>
        </w:rPr>
      </w:pPr>
      <w:r>
        <w:rPr>
          <w:szCs w:val="30"/>
        </w:rPr>
        <w:t>推动生态环境保护综合执法改革，有效整合全县生态环境保护领域执法职责和队伍，建立健全权责统一、权威高效的生态环境执法体制。建立多部门联席会议、案件咨询、督办预警、信息共享等生态环境领域</w:t>
      </w:r>
      <w:r>
        <w:rPr>
          <w:rFonts w:hint="eastAsia"/>
          <w:szCs w:val="30"/>
        </w:rPr>
        <w:t>“</w:t>
      </w:r>
      <w:r>
        <w:rPr>
          <w:szCs w:val="30"/>
        </w:rPr>
        <w:t>两法</w:t>
      </w:r>
      <w:r>
        <w:rPr>
          <w:rFonts w:hint="eastAsia"/>
          <w:szCs w:val="30"/>
        </w:rPr>
        <w:t>”</w:t>
      </w:r>
      <w:r>
        <w:rPr>
          <w:szCs w:val="30"/>
        </w:rPr>
        <w:t>衔接机制，形成打击生态环境违法犯罪的强大合力。</w:t>
      </w:r>
    </w:p>
    <w:p w14:paraId="1DD9E201">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8.加大科技创新支撑力度</w:t>
      </w:r>
    </w:p>
    <w:p w14:paraId="5A896D26">
      <w:pPr>
        <w:spacing w:line="600" w:lineRule="exact"/>
        <w:ind w:firstLine="640"/>
        <w:rPr>
          <w:szCs w:val="30"/>
        </w:rPr>
      </w:pPr>
      <w:r>
        <w:rPr>
          <w:rFonts w:hint="eastAsia"/>
          <w:szCs w:val="30"/>
        </w:rPr>
        <w:t>加强科研交流。深化“校地合作”，深入实施“傍大学、优产业”战略，</w:t>
      </w:r>
      <w:r>
        <w:rPr>
          <w:szCs w:val="30"/>
        </w:rPr>
        <w:t>提升生态环境信息化水平。充分依托信息化、数字化、流程化手段，积极与省、市级对接，构建省、市、县三级督察督办、挂图整改联动一体化平台。健全生态环境信息化建设标准规范，统筹兼顾各领域、各系统、各级生态环境部门的工作需求，整合各地各部门有关生态环境信息化资源，为生态环境保护决策提供强有力的技术支持。</w:t>
      </w:r>
    </w:p>
    <w:p w14:paraId="5FE45430">
      <w:pPr>
        <w:spacing w:line="600" w:lineRule="exact"/>
        <w:ind w:firstLine="640"/>
        <w:rPr>
          <w:rFonts w:eastAsia="仿宋"/>
          <w:szCs w:val="30"/>
        </w:rPr>
      </w:pPr>
      <w:r>
        <w:rPr>
          <w:szCs w:val="30"/>
        </w:rPr>
        <w:t>引导和支持企业加大科技创新力度，开展产学研合作，引进新技术、新成果、新工艺，不断提升自主创新能力和核心竞争力，加快培育一批创新型领军企业、</w:t>
      </w:r>
      <w:r>
        <w:rPr>
          <w:rFonts w:hint="eastAsia"/>
          <w:szCs w:val="30"/>
        </w:rPr>
        <w:t>“</w:t>
      </w:r>
      <w:r>
        <w:rPr>
          <w:szCs w:val="30"/>
        </w:rPr>
        <w:t>专精特新</w:t>
      </w:r>
      <w:r>
        <w:rPr>
          <w:rFonts w:hint="eastAsia"/>
          <w:szCs w:val="30"/>
        </w:rPr>
        <w:t>”</w:t>
      </w:r>
      <w:r>
        <w:rPr>
          <w:szCs w:val="30"/>
        </w:rPr>
        <w:t>中小企业和单项冠军企业。抓紧培养专业化人才，分期分批培训业务骨干，学习新理念、新方法和新技术，提高业务素质。</w:t>
      </w:r>
      <w:bookmarkStart w:id="105" w:name="_Toc72246633"/>
      <w:bookmarkStart w:id="106" w:name="_Toc72148496"/>
      <w:bookmarkStart w:id="107" w:name="_Toc61786018"/>
    </w:p>
    <w:p w14:paraId="46BA1460">
      <w:pPr>
        <w:pStyle w:val="7"/>
        <w:keepNext w:val="0"/>
        <w:keepLines w:val="0"/>
        <w:spacing w:line="600" w:lineRule="exact"/>
        <w:ind w:firstLine="0" w:firstLineChars="0"/>
        <w:rPr>
          <w:rFonts w:ascii="黑体" w:hAnsi="黑体" w:eastAsia="黑体" w:cs="Times New Roman"/>
          <w:bCs w:val="0"/>
          <w:sz w:val="40"/>
          <w:szCs w:val="40"/>
        </w:rPr>
      </w:pPr>
      <w:bookmarkStart w:id="108" w:name="_Toc103937016"/>
      <w:bookmarkStart w:id="109" w:name="_Toc103937274"/>
      <w:r>
        <w:rPr>
          <w:rFonts w:ascii="黑体" w:hAnsi="黑体" w:eastAsia="黑体" w:cs="Times New Roman"/>
          <w:bCs w:val="0"/>
          <w:sz w:val="40"/>
          <w:szCs w:val="40"/>
        </w:rPr>
        <w:t>（十</w:t>
      </w:r>
      <w:r>
        <w:rPr>
          <w:rFonts w:hint="eastAsia" w:ascii="黑体" w:hAnsi="黑体" w:eastAsia="黑体" w:cs="Times New Roman"/>
          <w:bCs w:val="0"/>
          <w:sz w:val="40"/>
          <w:szCs w:val="40"/>
        </w:rPr>
        <w:t>一</w:t>
      </w:r>
      <w:r>
        <w:rPr>
          <w:rFonts w:ascii="黑体" w:hAnsi="黑体" w:eastAsia="黑体" w:cs="Times New Roman"/>
          <w:bCs w:val="0"/>
          <w:sz w:val="40"/>
          <w:szCs w:val="40"/>
        </w:rPr>
        <w:t>）</w:t>
      </w:r>
      <w:r>
        <w:rPr>
          <w:rFonts w:hint="eastAsia" w:ascii="黑体" w:hAnsi="黑体" w:eastAsia="黑体" w:cs="Times New Roman"/>
          <w:bCs w:val="0"/>
          <w:sz w:val="40"/>
          <w:szCs w:val="40"/>
        </w:rPr>
        <w:t>利用生态环境大数据</w:t>
      </w:r>
      <w:r>
        <w:rPr>
          <w:rFonts w:ascii="黑体" w:hAnsi="黑体" w:eastAsia="黑体" w:cs="Times New Roman"/>
          <w:bCs w:val="0"/>
          <w:sz w:val="40"/>
          <w:szCs w:val="40"/>
        </w:rPr>
        <w:t>，</w:t>
      </w:r>
      <w:r>
        <w:rPr>
          <w:rFonts w:hint="eastAsia" w:ascii="黑体" w:hAnsi="黑体" w:eastAsia="黑体" w:cs="Times New Roman"/>
          <w:bCs w:val="0"/>
          <w:sz w:val="40"/>
          <w:szCs w:val="40"/>
        </w:rPr>
        <w:t>助力环境管理转型</w:t>
      </w:r>
      <w:bookmarkEnd w:id="108"/>
      <w:bookmarkEnd w:id="109"/>
    </w:p>
    <w:p w14:paraId="3A2A082E">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1.构建信息资源共享数据库</w:t>
      </w:r>
    </w:p>
    <w:p w14:paraId="33CA6332">
      <w:pPr>
        <w:spacing w:line="600" w:lineRule="exact"/>
        <w:ind w:firstLine="640"/>
        <w:rPr>
          <w:szCs w:val="30"/>
        </w:rPr>
      </w:pPr>
      <w:r>
        <w:rPr>
          <w:rFonts w:hint="eastAsia"/>
          <w:szCs w:val="30"/>
        </w:rPr>
        <w:t>依托福建省生态云平台及福州市生态云平台，进一步融合第二次污染源普查、土壤调查、污染源监测、入河排污口调查、环境监测等各类生态环境数据，建立集生态环境数据展示、生态数据应用、生态环境应急预警等为一体的大数据平台。深度挖掘时空、区域、流域、行业等不同分布维度的环境信息数据，推进环境信息资源开发、整合和利用，加强生态环境质量、污染源、环境监管等数据分析，实现可靠溯源、有效预测、精准治污，逐步建立要素齐全、数据准确、动态更新、信息共享的生态环境信息资源共享数据库。</w:t>
      </w:r>
    </w:p>
    <w:p w14:paraId="6590BC40">
      <w:pPr>
        <w:pStyle w:val="8"/>
        <w:keepNext w:val="0"/>
        <w:keepLines w:val="0"/>
        <w:spacing w:before="240" w:after="240" w:line="600" w:lineRule="exact"/>
        <w:ind w:firstLine="567" w:firstLineChars="157"/>
        <w:rPr>
          <w:rFonts w:ascii="黑体" w:hAnsi="黑体" w:eastAsia="黑体"/>
          <w:sz w:val="36"/>
          <w:szCs w:val="36"/>
        </w:rPr>
      </w:pPr>
      <w:r>
        <w:rPr>
          <w:rFonts w:hint="eastAsia" w:ascii="黑体" w:hAnsi="黑体" w:eastAsia="黑体"/>
          <w:sz w:val="36"/>
          <w:szCs w:val="36"/>
        </w:rPr>
        <w:t>2.推进环境信息综合化应用</w:t>
      </w:r>
    </w:p>
    <w:p w14:paraId="4B6E0D59">
      <w:pPr>
        <w:spacing w:line="600" w:lineRule="exact"/>
        <w:ind w:firstLine="640"/>
        <w:rPr>
          <w:szCs w:val="30"/>
        </w:rPr>
      </w:pPr>
      <w:r>
        <w:rPr>
          <w:rFonts w:hint="eastAsia"/>
          <w:szCs w:val="30"/>
        </w:rPr>
        <w:t>加快大数据、云计算、人工智能、区块链、物联网等前沿技术在污染防治、执法监管、环境监测、环境应急等领域的应用。加快电子政务的集约化、统筹化建设，推进资源共享和业务协同，全面提升固体废物闭环管理、机动车综合管理、污水管网及排污口管理、重点源监管监测、遥感监测等信息化监管水平。完善生态环境应用服务，加强生态环境数据加工分析，提升生态环境监管和服务能力。探索建立大数据生态环境监测网络，建设天上看、地上查、网上管的智慧高效信息管理平台。</w:t>
      </w:r>
    </w:p>
    <w:p w14:paraId="225019C9">
      <w:pPr>
        <w:pStyle w:val="2"/>
        <w:ind w:firstLine="640"/>
      </w:pPr>
    </w:p>
    <w:p w14:paraId="3A79CC12">
      <w:pPr>
        <w:pStyle w:val="7"/>
        <w:keepNext w:val="0"/>
        <w:keepLines w:val="0"/>
        <w:spacing w:line="600" w:lineRule="exact"/>
        <w:ind w:firstLine="0" w:firstLineChars="0"/>
        <w:rPr>
          <w:rFonts w:ascii="黑体" w:hAnsi="黑体" w:eastAsia="黑体" w:cs="Times New Roman"/>
          <w:bCs w:val="0"/>
          <w:sz w:val="40"/>
          <w:szCs w:val="40"/>
        </w:rPr>
      </w:pPr>
      <w:bookmarkStart w:id="110" w:name="_Toc103937017"/>
      <w:bookmarkStart w:id="111" w:name="_Toc103937275"/>
      <w:r>
        <w:rPr>
          <w:rFonts w:ascii="黑体" w:hAnsi="黑体" w:eastAsia="黑体" w:cs="Times New Roman"/>
          <w:bCs w:val="0"/>
          <w:sz w:val="40"/>
          <w:szCs w:val="40"/>
        </w:rPr>
        <w:t>（十</w:t>
      </w:r>
      <w:r>
        <w:rPr>
          <w:rFonts w:hint="eastAsia" w:ascii="黑体" w:hAnsi="黑体" w:eastAsia="黑体" w:cs="Times New Roman"/>
          <w:bCs w:val="0"/>
          <w:sz w:val="40"/>
          <w:szCs w:val="40"/>
        </w:rPr>
        <w:t>二</w:t>
      </w:r>
      <w:r>
        <w:rPr>
          <w:rFonts w:ascii="黑体" w:hAnsi="黑体" w:eastAsia="黑体" w:cs="Times New Roman"/>
          <w:bCs w:val="0"/>
          <w:sz w:val="40"/>
          <w:szCs w:val="40"/>
        </w:rPr>
        <w:t>）</w:t>
      </w:r>
      <w:r>
        <w:rPr>
          <w:rFonts w:hint="eastAsia" w:ascii="黑体" w:hAnsi="黑体" w:eastAsia="黑体" w:cs="Times New Roman"/>
          <w:bCs w:val="0"/>
          <w:sz w:val="40"/>
          <w:szCs w:val="40"/>
        </w:rPr>
        <w:t>规划重点工程</w:t>
      </w:r>
      <w:bookmarkEnd w:id="110"/>
      <w:bookmarkEnd w:id="111"/>
    </w:p>
    <w:p w14:paraId="775FBB1B">
      <w:pPr>
        <w:ind w:firstLine="640"/>
        <w:rPr>
          <w:szCs w:val="32"/>
        </w:rPr>
      </w:pPr>
      <w:r>
        <w:rPr>
          <w:szCs w:val="32"/>
        </w:rPr>
        <w:t>围绕</w:t>
      </w:r>
      <w:r>
        <w:rPr>
          <w:rFonts w:hint="eastAsia"/>
          <w:szCs w:val="32"/>
        </w:rPr>
        <w:t>以上</w:t>
      </w:r>
      <w:r>
        <w:rPr>
          <w:szCs w:val="32"/>
        </w:rPr>
        <w:t>规划重点任务，以大工程带动大治理，提出在</w:t>
      </w:r>
      <w:r>
        <w:rPr>
          <w:rFonts w:ascii="宋体" w:hAnsi="宋体" w:eastAsia="宋体"/>
          <w:szCs w:val="32"/>
        </w:rPr>
        <w:t>“</w:t>
      </w:r>
      <w:r>
        <w:rPr>
          <w:szCs w:val="32"/>
        </w:rPr>
        <w:t>十四五</w:t>
      </w:r>
      <w:r>
        <w:rPr>
          <w:rFonts w:ascii="宋体" w:hAnsi="宋体" w:eastAsia="宋体"/>
          <w:szCs w:val="32"/>
        </w:rPr>
        <w:t>”</w:t>
      </w:r>
      <w:r>
        <w:rPr>
          <w:szCs w:val="32"/>
        </w:rPr>
        <w:t>期间能够对</w:t>
      </w:r>
      <w:r>
        <w:rPr>
          <w:rFonts w:hint="eastAsia"/>
          <w:szCs w:val="32"/>
        </w:rPr>
        <w:t>闽侯县生态</w:t>
      </w:r>
      <w:r>
        <w:rPr>
          <w:szCs w:val="32"/>
        </w:rPr>
        <w:t>环境保护有巨大推进效益、操作性强的重大工程共</w:t>
      </w:r>
      <w:r>
        <w:rPr>
          <w:rFonts w:hint="eastAsia"/>
          <w:szCs w:val="32"/>
        </w:rPr>
        <w:t xml:space="preserve"> </w:t>
      </w:r>
      <w:r>
        <w:rPr>
          <w:rFonts w:hAnsi="仿宋_GB2312"/>
          <w:szCs w:val="32"/>
        </w:rPr>
        <w:t>67</w:t>
      </w:r>
      <w:r>
        <w:rPr>
          <w:szCs w:val="32"/>
        </w:rPr>
        <w:t>个，</w:t>
      </w:r>
      <w:r>
        <w:rPr>
          <w:rFonts w:hint="eastAsia"/>
          <w:szCs w:val="32"/>
        </w:rPr>
        <w:t>涉及地表水环境质量改善提升工程、空气质量提升工程、农村人居环境提升工程、生态环境保护工程、土壤及地下水环境保障工程、供水工程、环境治理能力提升工程、危险废物利用处置工程等八</w:t>
      </w:r>
      <w:r>
        <w:rPr>
          <w:szCs w:val="32"/>
        </w:rPr>
        <w:t>大类</w:t>
      </w:r>
      <w:r>
        <w:rPr>
          <w:rFonts w:hint="eastAsia"/>
          <w:szCs w:val="32"/>
        </w:rPr>
        <w:t>，总投资匡算约</w:t>
      </w:r>
      <w:r>
        <w:rPr>
          <w:rFonts w:hAnsi="仿宋_GB2312"/>
          <w:szCs w:val="32"/>
        </w:rPr>
        <w:t>138</w:t>
      </w:r>
      <w:r>
        <w:rPr>
          <w:rFonts w:hint="eastAsia"/>
          <w:szCs w:val="32"/>
        </w:rPr>
        <w:t>亿元人民币</w:t>
      </w:r>
      <w:r>
        <w:rPr>
          <w:szCs w:val="32"/>
        </w:rPr>
        <w:t>。</w:t>
      </w:r>
    </w:p>
    <w:p w14:paraId="1CDC2C4A">
      <w:pPr>
        <w:pStyle w:val="5"/>
      </w:pPr>
    </w:p>
    <w:p w14:paraId="633753C4">
      <w:pPr>
        <w:pStyle w:val="5"/>
        <w:sectPr>
          <w:pgSz w:w="11906" w:h="16838"/>
          <w:pgMar w:top="1418" w:right="1247" w:bottom="1134" w:left="1247" w:header="851" w:footer="851" w:gutter="0"/>
          <w:cols w:space="425" w:num="1"/>
          <w:docGrid w:type="lines" w:linePitch="312" w:charSpace="0"/>
        </w:sectPr>
      </w:pPr>
    </w:p>
    <w:bookmarkEnd w:id="105"/>
    <w:bookmarkEnd w:id="106"/>
    <w:bookmarkEnd w:id="107"/>
    <w:p w14:paraId="1B5A1BCF">
      <w:pPr>
        <w:pStyle w:val="6"/>
        <w:spacing w:before="600" w:after="600" w:line="600" w:lineRule="exact"/>
        <w:ind w:firstLine="0" w:firstLineChars="0"/>
        <w:jc w:val="center"/>
        <w:rPr>
          <w:rFonts w:ascii="黑体" w:hAnsi="黑体" w:eastAsia="黑体"/>
          <w:sz w:val="48"/>
          <w:szCs w:val="48"/>
        </w:rPr>
      </w:pPr>
      <w:bookmarkStart w:id="112" w:name="_Toc103937276"/>
      <w:bookmarkStart w:id="113" w:name="_Toc72246634"/>
      <w:bookmarkStart w:id="114" w:name="_Toc103937018"/>
      <w:bookmarkStart w:id="115" w:name="_Toc72148497"/>
      <w:bookmarkStart w:id="116" w:name="_Toc61786019"/>
      <w:r>
        <w:rPr>
          <w:rFonts w:hint="eastAsia" w:ascii="黑体" w:hAnsi="黑体" w:eastAsia="黑体"/>
          <w:sz w:val="48"/>
          <w:szCs w:val="48"/>
        </w:rPr>
        <w:t xml:space="preserve">第四章 </w:t>
      </w:r>
      <w:r>
        <w:rPr>
          <w:rFonts w:ascii="黑体" w:hAnsi="黑体" w:eastAsia="黑体"/>
          <w:sz w:val="48"/>
          <w:szCs w:val="48"/>
        </w:rPr>
        <w:t>保障措施</w:t>
      </w:r>
      <w:bookmarkEnd w:id="112"/>
      <w:bookmarkEnd w:id="113"/>
      <w:bookmarkEnd w:id="114"/>
      <w:bookmarkEnd w:id="115"/>
      <w:bookmarkEnd w:id="116"/>
    </w:p>
    <w:p w14:paraId="7D41AC72">
      <w:pPr>
        <w:pStyle w:val="7"/>
        <w:keepNext w:val="0"/>
        <w:keepLines w:val="0"/>
        <w:spacing w:line="600" w:lineRule="exact"/>
        <w:ind w:firstLine="0" w:firstLineChars="0"/>
        <w:rPr>
          <w:rFonts w:ascii="黑体" w:hAnsi="黑体" w:eastAsia="黑体" w:cs="Times New Roman"/>
          <w:bCs w:val="0"/>
          <w:sz w:val="40"/>
          <w:szCs w:val="40"/>
        </w:rPr>
      </w:pPr>
      <w:bookmarkStart w:id="117" w:name="_Toc72148498"/>
      <w:bookmarkStart w:id="118" w:name="_Toc72246635"/>
      <w:bookmarkStart w:id="119" w:name="_Toc103937019"/>
      <w:bookmarkStart w:id="120" w:name="_Toc103937277"/>
      <w:r>
        <w:rPr>
          <w:rFonts w:ascii="黑体" w:hAnsi="黑体" w:eastAsia="黑体" w:cs="Times New Roman"/>
          <w:bCs w:val="0"/>
          <w:sz w:val="40"/>
          <w:szCs w:val="40"/>
        </w:rPr>
        <w:t>（一）强化组织</w:t>
      </w:r>
      <w:bookmarkEnd w:id="117"/>
      <w:bookmarkEnd w:id="118"/>
      <w:r>
        <w:rPr>
          <w:rFonts w:hint="eastAsia" w:ascii="黑体" w:hAnsi="黑体" w:eastAsia="黑体" w:cs="Times New Roman"/>
          <w:bCs w:val="0"/>
          <w:sz w:val="40"/>
          <w:szCs w:val="40"/>
        </w:rPr>
        <w:t>统领</w:t>
      </w:r>
      <w:bookmarkEnd w:id="119"/>
      <w:bookmarkEnd w:id="120"/>
    </w:p>
    <w:p w14:paraId="08E7588D">
      <w:pPr>
        <w:spacing w:line="600" w:lineRule="exact"/>
        <w:ind w:firstLine="640"/>
      </w:pPr>
      <w:r>
        <w:rPr>
          <w:rFonts w:hint="eastAsia"/>
          <w:kern w:val="0"/>
          <w:szCs w:val="30"/>
        </w:rPr>
        <w:t>闽侯</w:t>
      </w:r>
      <w:r>
        <w:rPr>
          <w:kern w:val="0"/>
          <w:szCs w:val="30"/>
        </w:rPr>
        <w:t>县党委和县政府是规划实施的责任主体，对生态环境工作负全面领导责任，对保持并改善本行政辖区内环境质量要做到</w:t>
      </w:r>
      <w:r>
        <w:rPr>
          <w:rFonts w:hint="eastAsia"/>
          <w:kern w:val="0"/>
          <w:szCs w:val="30"/>
        </w:rPr>
        <w:t>“</w:t>
      </w:r>
      <w:r>
        <w:rPr>
          <w:kern w:val="0"/>
          <w:szCs w:val="30"/>
        </w:rPr>
        <w:t>守土有责</w:t>
      </w:r>
      <w:r>
        <w:rPr>
          <w:szCs w:val="30"/>
        </w:rPr>
        <w:t>、守土负责、守土尽责</w:t>
      </w:r>
      <w:r>
        <w:rPr>
          <w:rFonts w:hint="eastAsia"/>
          <w:kern w:val="0"/>
          <w:szCs w:val="30"/>
        </w:rPr>
        <w:t>”</w:t>
      </w:r>
      <w:r>
        <w:rPr>
          <w:kern w:val="0"/>
          <w:szCs w:val="30"/>
        </w:rPr>
        <w:t>。</w:t>
      </w:r>
      <w:r>
        <w:rPr>
          <w:rFonts w:hint="eastAsia"/>
          <w:kern w:val="0"/>
          <w:szCs w:val="30"/>
        </w:rPr>
        <w:t>坚持闽侯县生态环境保护“管行业必管环保”兜底思维，落实生态环境保护责任清单。闽侯</w:t>
      </w:r>
      <w:r>
        <w:rPr>
          <w:kern w:val="0"/>
          <w:szCs w:val="30"/>
        </w:rPr>
        <w:t>生态环境</w:t>
      </w:r>
      <w:r>
        <w:rPr>
          <w:rFonts w:hint="eastAsia"/>
          <w:kern w:val="0"/>
          <w:szCs w:val="30"/>
        </w:rPr>
        <w:t>局</w:t>
      </w:r>
      <w:r>
        <w:rPr>
          <w:kern w:val="0"/>
          <w:szCs w:val="30"/>
        </w:rPr>
        <w:t>统一监督落实环境保护工作、统一评估环境质量状况。各相关部门要对各自职能范围内的污染防治工作负责。做好规划各项目标、任务、措施和重大工程的分解落实，强化政策统筹协调，提高对规划实施的宏观调控与政策引导。不断完善和充分发挥各级政府、各部门之间的合作机制，加强部门协调，建立定期会商制度和协作应急处置机制，全方位合作形成合力。</w:t>
      </w:r>
    </w:p>
    <w:p w14:paraId="72C83B90">
      <w:pPr>
        <w:pStyle w:val="7"/>
        <w:keepNext w:val="0"/>
        <w:keepLines w:val="0"/>
        <w:spacing w:line="600" w:lineRule="exact"/>
        <w:ind w:firstLine="0" w:firstLineChars="0"/>
        <w:rPr>
          <w:rFonts w:ascii="黑体" w:hAnsi="黑体" w:eastAsia="黑体" w:cs="Times New Roman"/>
          <w:bCs w:val="0"/>
          <w:sz w:val="40"/>
          <w:szCs w:val="40"/>
        </w:rPr>
      </w:pPr>
      <w:bookmarkStart w:id="121" w:name="_Toc72148499"/>
      <w:bookmarkStart w:id="122" w:name="_Toc72246636"/>
      <w:bookmarkStart w:id="123" w:name="_Toc103937020"/>
      <w:bookmarkStart w:id="124" w:name="_Toc103937278"/>
      <w:r>
        <w:rPr>
          <w:rFonts w:ascii="黑体" w:hAnsi="黑体" w:eastAsia="黑体" w:cs="Times New Roman"/>
          <w:bCs w:val="0"/>
          <w:sz w:val="40"/>
          <w:szCs w:val="40"/>
        </w:rPr>
        <w:t>（二）完善制度体系</w:t>
      </w:r>
      <w:bookmarkEnd w:id="121"/>
      <w:bookmarkEnd w:id="122"/>
      <w:bookmarkEnd w:id="123"/>
      <w:bookmarkEnd w:id="124"/>
    </w:p>
    <w:p w14:paraId="29F2679E">
      <w:pPr>
        <w:spacing w:line="600" w:lineRule="exact"/>
        <w:ind w:firstLine="640"/>
        <w:rPr>
          <w:kern w:val="0"/>
          <w:szCs w:val="30"/>
        </w:rPr>
      </w:pPr>
      <w:r>
        <w:rPr>
          <w:kern w:val="0"/>
          <w:szCs w:val="30"/>
        </w:rPr>
        <w:t>完善提升党政领导生态环境保护目标责任考核制度、领导干部自然资源资产离任审计制度、党政领导干部生态环境损害责任追究制度等改革措施，倒逼各级党政领导干部牢固树立和践行绿色发展理念。完善环境信用评价、信息强制性披露等生态环境保护政策，健全环境公益诉讼制度；严格实行环境准入负面清单制度、生态补偿制度、生态损害追究赔偿制度等，加快推进环境治理体系和治理能力现代化。</w:t>
      </w:r>
    </w:p>
    <w:p w14:paraId="1484E892">
      <w:pPr>
        <w:pStyle w:val="7"/>
        <w:keepNext w:val="0"/>
        <w:keepLines w:val="0"/>
        <w:spacing w:line="600" w:lineRule="exact"/>
        <w:ind w:firstLine="0" w:firstLineChars="0"/>
        <w:rPr>
          <w:rFonts w:ascii="黑体" w:hAnsi="黑体" w:eastAsia="黑体" w:cs="Times New Roman"/>
          <w:bCs w:val="0"/>
          <w:sz w:val="40"/>
          <w:szCs w:val="40"/>
        </w:rPr>
      </w:pPr>
      <w:bookmarkStart w:id="125" w:name="_Toc103937279"/>
      <w:bookmarkStart w:id="126" w:name="_Toc103937021"/>
      <w:r>
        <w:rPr>
          <w:rFonts w:hint="eastAsia" w:ascii="黑体" w:hAnsi="黑体" w:eastAsia="黑体" w:cs="Times New Roman"/>
          <w:bCs w:val="0"/>
          <w:sz w:val="40"/>
          <w:szCs w:val="40"/>
        </w:rPr>
        <w:t>（</w:t>
      </w:r>
      <w:r>
        <w:rPr>
          <w:rFonts w:ascii="黑体" w:hAnsi="黑体" w:eastAsia="黑体" w:cs="Times New Roman"/>
          <w:bCs w:val="0"/>
          <w:sz w:val="40"/>
          <w:szCs w:val="40"/>
        </w:rPr>
        <w:t>三</w:t>
      </w:r>
      <w:r>
        <w:rPr>
          <w:rFonts w:hint="eastAsia" w:ascii="黑体" w:hAnsi="黑体" w:eastAsia="黑体" w:cs="Times New Roman"/>
          <w:bCs w:val="0"/>
          <w:sz w:val="40"/>
          <w:szCs w:val="40"/>
        </w:rPr>
        <w:t>）</w:t>
      </w:r>
      <w:r>
        <w:rPr>
          <w:rFonts w:ascii="黑体" w:hAnsi="黑体" w:eastAsia="黑体" w:cs="Times New Roman"/>
          <w:bCs w:val="0"/>
          <w:sz w:val="40"/>
          <w:szCs w:val="40"/>
        </w:rPr>
        <w:t>严格考核评估</w:t>
      </w:r>
      <w:bookmarkEnd w:id="125"/>
      <w:bookmarkEnd w:id="126"/>
    </w:p>
    <w:p w14:paraId="79DA6E61">
      <w:pPr>
        <w:spacing w:line="600" w:lineRule="exact"/>
        <w:ind w:firstLine="640"/>
      </w:pPr>
      <w:r>
        <w:rPr>
          <w:rFonts w:hint="eastAsia"/>
        </w:rPr>
        <w:t>强化对规划实施情况的跟踪评估，建立规划实施年度调度、中期评估、终期考核机制，</w:t>
      </w:r>
      <w:r>
        <w:rPr>
          <w:kern w:val="0"/>
          <w:szCs w:val="30"/>
        </w:rPr>
        <w:t>组织开展规划中期评估和终期评估，</w:t>
      </w:r>
      <w:r>
        <w:rPr>
          <w:rFonts w:hint="eastAsia"/>
        </w:rPr>
        <w:t>严格实施管理，确保规划实施到位。</w:t>
      </w:r>
      <w:r>
        <w:rPr>
          <w:kern w:val="0"/>
          <w:szCs w:val="30"/>
        </w:rPr>
        <w:t>对规划确定的目标指标、主要任务、重大举措和重大工程等落实情况进行全面回顾和评价，并依据中期评估结果对规划目标任务实施科学调整。</w:t>
      </w:r>
      <w:r>
        <w:rPr>
          <w:rFonts w:hint="eastAsia"/>
        </w:rPr>
        <w:t>把主要任务和目标纳入地方党委政府、相关部门的政绩考核和生态环境责任考核，分年度对分解的各项任务和目标进行考核，并把规划实施情况作为政府和部门审批核准环境保护与生态建设领域重大项目、安排政府投资的依据。</w:t>
      </w:r>
      <w:r>
        <w:rPr>
          <w:kern w:val="0"/>
          <w:szCs w:val="30"/>
        </w:rPr>
        <w:t>对评估考核结果进行通报并予以公开，规划实施进展成效和考核结果作为对党政领导班子和领导干部综合考核评价的重要依据。</w:t>
      </w:r>
    </w:p>
    <w:p w14:paraId="656EBFBE">
      <w:pPr>
        <w:pStyle w:val="7"/>
        <w:keepNext w:val="0"/>
        <w:keepLines w:val="0"/>
        <w:spacing w:line="600" w:lineRule="exact"/>
        <w:ind w:firstLine="0" w:firstLineChars="0"/>
        <w:rPr>
          <w:rFonts w:ascii="黑体" w:hAnsi="黑体" w:eastAsia="黑体" w:cs="Times New Roman"/>
          <w:bCs w:val="0"/>
          <w:sz w:val="40"/>
          <w:szCs w:val="40"/>
        </w:rPr>
      </w:pPr>
      <w:bookmarkStart w:id="127" w:name="_Toc72148500"/>
      <w:bookmarkStart w:id="128" w:name="_Toc72246637"/>
      <w:bookmarkStart w:id="129" w:name="_Toc103937022"/>
      <w:bookmarkStart w:id="130" w:name="_Toc103937280"/>
      <w:r>
        <w:rPr>
          <w:rFonts w:ascii="黑体" w:hAnsi="黑体" w:eastAsia="黑体" w:cs="Times New Roman"/>
          <w:bCs w:val="0"/>
          <w:sz w:val="40"/>
          <w:szCs w:val="40"/>
        </w:rPr>
        <w:t>（</w:t>
      </w:r>
      <w:r>
        <w:rPr>
          <w:rFonts w:hint="eastAsia" w:ascii="黑体" w:hAnsi="黑体" w:eastAsia="黑体" w:cs="Times New Roman"/>
          <w:bCs w:val="0"/>
          <w:sz w:val="40"/>
          <w:szCs w:val="40"/>
        </w:rPr>
        <w:t>四</w:t>
      </w:r>
      <w:r>
        <w:rPr>
          <w:rFonts w:ascii="黑体" w:hAnsi="黑体" w:eastAsia="黑体" w:cs="Times New Roman"/>
          <w:bCs w:val="0"/>
          <w:sz w:val="40"/>
          <w:szCs w:val="40"/>
        </w:rPr>
        <w:t>）加大资金</w:t>
      </w:r>
      <w:r>
        <w:rPr>
          <w:rFonts w:hint="eastAsia" w:ascii="黑体" w:hAnsi="黑体" w:eastAsia="黑体" w:cs="Times New Roman"/>
          <w:bCs w:val="0"/>
          <w:sz w:val="40"/>
          <w:szCs w:val="40"/>
        </w:rPr>
        <w:t>投入</w:t>
      </w:r>
      <w:bookmarkEnd w:id="127"/>
      <w:bookmarkEnd w:id="128"/>
      <w:bookmarkEnd w:id="129"/>
      <w:bookmarkEnd w:id="130"/>
    </w:p>
    <w:p w14:paraId="617E34D8">
      <w:pPr>
        <w:spacing w:line="600" w:lineRule="exact"/>
        <w:ind w:firstLine="640"/>
        <w:rPr>
          <w:szCs w:val="30"/>
        </w:rPr>
      </w:pPr>
      <w:r>
        <w:rPr>
          <w:rFonts w:hint="eastAsia"/>
          <w:szCs w:val="30"/>
        </w:rPr>
        <w:t>持续加大政府财政对生态环境保护的投入力度，将生态环境保护作为公共财政支出的重点，加大各类环保资金的对上争取。</w:t>
      </w:r>
      <w:r>
        <w:rPr>
          <w:szCs w:val="30"/>
        </w:rPr>
        <w:t>建立</w:t>
      </w:r>
      <w:r>
        <w:rPr>
          <w:rFonts w:hint="eastAsia"/>
          <w:szCs w:val="30"/>
        </w:rPr>
        <w:t>并完善“</w:t>
      </w:r>
      <w:r>
        <w:rPr>
          <w:szCs w:val="30"/>
        </w:rPr>
        <w:t>政府引导、企业为主、社会参与</w:t>
      </w:r>
      <w:r>
        <w:rPr>
          <w:rFonts w:hint="eastAsia"/>
          <w:szCs w:val="30"/>
        </w:rPr>
        <w:t>”</w:t>
      </w:r>
      <w:r>
        <w:rPr>
          <w:szCs w:val="30"/>
        </w:rPr>
        <w:t>的多元化</w:t>
      </w:r>
      <w:r>
        <w:rPr>
          <w:rFonts w:hint="eastAsia"/>
          <w:szCs w:val="30"/>
        </w:rPr>
        <w:t>投融资机制</w:t>
      </w:r>
      <w:r>
        <w:rPr>
          <w:szCs w:val="30"/>
        </w:rPr>
        <w:t>，</w:t>
      </w:r>
      <w:r>
        <w:rPr>
          <w:rFonts w:hint="eastAsia"/>
          <w:szCs w:val="30"/>
        </w:rPr>
        <w:t>引导更多的社会资本主动参与生态环境保护建设。</w:t>
      </w:r>
      <w:r>
        <w:rPr>
          <w:szCs w:val="30"/>
        </w:rPr>
        <w:t>发挥政策和市场的作用，鼓励社会资本加大环境保护投入，重点支持循环经济、环境治理、清洁及可再生能源利用等领域。发展生态环境市场，推进节能量、碳排放权、排污权、水权交易制度，推进生态产品市场化。</w:t>
      </w:r>
    </w:p>
    <w:p w14:paraId="61814425">
      <w:pPr>
        <w:spacing w:line="600" w:lineRule="exact"/>
        <w:ind w:firstLine="640"/>
        <w:rPr>
          <w:szCs w:val="30"/>
        </w:rPr>
      </w:pPr>
      <w:r>
        <w:rPr>
          <w:szCs w:val="30"/>
        </w:rPr>
        <w:t>建立权责清晰、区域均衡、科学持续的财政投入保障长效机制，各级政府要把环境保护和监管列入各级财政年度预算并逐步增加投入，重点扶持污染防治、生态修复等工作。健全生态保护财力支持机制，逐步提高生态环境受益地区生态补偿标准，加大对限制开发、禁止开发区域的财政转移支付力度，加快自然资源及其产品价格改革，建立反映市场供求和资源稀缺程度，体现生态价值和代际补偿的资源有偿使用制度和生态补偿制度。</w:t>
      </w:r>
    </w:p>
    <w:p w14:paraId="4391CD15">
      <w:pPr>
        <w:spacing w:line="600" w:lineRule="exact"/>
        <w:ind w:firstLine="640"/>
        <w:rPr>
          <w:szCs w:val="30"/>
        </w:rPr>
      </w:pPr>
      <w:r>
        <w:rPr>
          <w:szCs w:val="30"/>
        </w:rPr>
        <w:t>加强环境信用体系建设，构建守信激励与失信惩戒机制，生态环境、银行、证券、保险等方面要加强协作联动，持续推进绿色信贷，采取财政贴息等方式加大扶持力度，鼓励各类金融机构加大绿色信贷的发放力度。</w:t>
      </w:r>
    </w:p>
    <w:p w14:paraId="6D45F4B0">
      <w:pPr>
        <w:pStyle w:val="7"/>
        <w:keepNext w:val="0"/>
        <w:keepLines w:val="0"/>
        <w:spacing w:line="600" w:lineRule="exact"/>
        <w:ind w:firstLine="0" w:firstLineChars="0"/>
        <w:rPr>
          <w:rFonts w:ascii="黑体" w:hAnsi="黑体" w:eastAsia="黑体" w:cs="Times New Roman"/>
          <w:bCs w:val="0"/>
          <w:sz w:val="40"/>
          <w:szCs w:val="40"/>
        </w:rPr>
      </w:pPr>
      <w:bookmarkStart w:id="131" w:name="_Toc103937023"/>
      <w:bookmarkStart w:id="132" w:name="_Toc103937281"/>
      <w:bookmarkStart w:id="133" w:name="_Toc72148501"/>
      <w:bookmarkStart w:id="134" w:name="_Toc61786022"/>
      <w:bookmarkStart w:id="135" w:name="_Toc72246638"/>
      <w:r>
        <w:rPr>
          <w:rFonts w:ascii="黑体" w:hAnsi="黑体" w:eastAsia="黑体" w:cs="Times New Roman"/>
          <w:bCs w:val="0"/>
          <w:sz w:val="40"/>
          <w:szCs w:val="40"/>
        </w:rPr>
        <w:t>（</w:t>
      </w:r>
      <w:r>
        <w:rPr>
          <w:rFonts w:hint="eastAsia" w:ascii="黑体" w:hAnsi="黑体" w:eastAsia="黑体" w:cs="Times New Roman"/>
          <w:bCs w:val="0"/>
          <w:sz w:val="40"/>
          <w:szCs w:val="40"/>
        </w:rPr>
        <w:t>五</w:t>
      </w:r>
      <w:r>
        <w:rPr>
          <w:rFonts w:ascii="黑体" w:hAnsi="黑体" w:eastAsia="黑体" w:cs="Times New Roman"/>
          <w:bCs w:val="0"/>
          <w:sz w:val="40"/>
          <w:szCs w:val="40"/>
        </w:rPr>
        <w:t>）</w:t>
      </w:r>
      <w:r>
        <w:rPr>
          <w:rFonts w:hint="eastAsia" w:ascii="黑体" w:hAnsi="黑体" w:eastAsia="黑体" w:cs="Times New Roman"/>
          <w:bCs w:val="0"/>
          <w:sz w:val="40"/>
          <w:szCs w:val="40"/>
        </w:rPr>
        <w:t>强化科技支撑</w:t>
      </w:r>
      <w:bookmarkEnd w:id="131"/>
      <w:bookmarkEnd w:id="132"/>
    </w:p>
    <w:p w14:paraId="7B27E1EC">
      <w:pPr>
        <w:spacing w:line="600" w:lineRule="exact"/>
        <w:ind w:firstLine="640"/>
        <w:rPr>
          <w:szCs w:val="30"/>
        </w:rPr>
      </w:pPr>
      <w:r>
        <w:rPr>
          <w:rFonts w:hint="eastAsia"/>
          <w:szCs w:val="30"/>
        </w:rPr>
        <w:t>制定全方位、多层次、多角度和前瞻性的环保技术保障体系。加强生态环境科技创新、污染防治等关键技术的研发攻关，支持科技成果产业化。</w:t>
      </w:r>
    </w:p>
    <w:p w14:paraId="60703F1E">
      <w:pPr>
        <w:pStyle w:val="7"/>
        <w:keepNext w:val="0"/>
        <w:keepLines w:val="0"/>
        <w:spacing w:line="600" w:lineRule="exact"/>
        <w:ind w:firstLine="0" w:firstLineChars="0"/>
        <w:rPr>
          <w:rFonts w:ascii="黑体" w:hAnsi="黑体" w:eastAsia="黑体" w:cs="Times New Roman"/>
          <w:bCs w:val="0"/>
          <w:sz w:val="40"/>
          <w:szCs w:val="40"/>
        </w:rPr>
      </w:pPr>
      <w:bookmarkStart w:id="136" w:name="_Toc103937282"/>
      <w:bookmarkStart w:id="137" w:name="_Toc103937024"/>
      <w:r>
        <w:rPr>
          <w:rFonts w:hint="eastAsia" w:ascii="黑体" w:hAnsi="黑体" w:eastAsia="黑体" w:cs="Times New Roman"/>
          <w:bCs w:val="0"/>
          <w:sz w:val="40"/>
          <w:szCs w:val="40"/>
        </w:rPr>
        <w:t>（六）</w:t>
      </w:r>
      <w:r>
        <w:rPr>
          <w:rFonts w:ascii="黑体" w:hAnsi="黑体" w:eastAsia="黑体" w:cs="Times New Roman"/>
          <w:bCs w:val="0"/>
          <w:sz w:val="40"/>
          <w:szCs w:val="40"/>
        </w:rPr>
        <w:t>引导全民参与</w:t>
      </w:r>
      <w:bookmarkEnd w:id="133"/>
      <w:bookmarkEnd w:id="134"/>
      <w:bookmarkEnd w:id="135"/>
      <w:bookmarkEnd w:id="136"/>
      <w:bookmarkEnd w:id="137"/>
    </w:p>
    <w:p w14:paraId="318040F7">
      <w:pPr>
        <w:spacing w:line="600" w:lineRule="exact"/>
        <w:ind w:firstLine="640"/>
        <w:rPr>
          <w:szCs w:val="30"/>
        </w:rPr>
      </w:pPr>
      <w:r>
        <w:rPr>
          <w:szCs w:val="30"/>
        </w:rPr>
        <w:t>充分发挥报纸、电视、广播、网络、微博、微信、手机客户端、杂志等全媒体作用，广泛深入宣传生态文明和环境保护理念，引导人民群众树立生态环境意识。</w:t>
      </w:r>
      <w:r>
        <w:rPr>
          <w:kern w:val="0"/>
          <w:szCs w:val="30"/>
        </w:rPr>
        <w:t>弘扬生态文明主流价值观，大力倡导以节约、绿色和低碳为主题的生产生活方式和消费习惯，加快推动生活方式绿色化，形成崇尚生态文明的社会新风尚。健全政府与企业、民众、非政府组织的信息沟通和交流机制，</w:t>
      </w:r>
      <w:r>
        <w:rPr>
          <w:szCs w:val="30"/>
        </w:rPr>
        <w:t>及时受理群众举报，并迅速核实、处理，保障人民群众依法有序行使环境监督权。</w:t>
      </w:r>
    </w:p>
    <w:p w14:paraId="01A61087">
      <w:pPr>
        <w:spacing w:line="600" w:lineRule="exact"/>
        <w:ind w:firstLine="640"/>
        <w:rPr>
          <w:kern w:val="0"/>
          <w:szCs w:val="30"/>
        </w:rPr>
      </w:pPr>
      <w:r>
        <w:rPr>
          <w:kern w:val="0"/>
          <w:szCs w:val="30"/>
        </w:rPr>
        <w:t>加强信息公开，扩大环境信息公开范围和公开渠道，定期公开环境违法信息，强化重大决策和建设项目公众参与，完善相关方利益表达和公众参与机制，鼓励引导社会生态环境团体参与环境保护。落实重点企业环境信息强制公开制度，逐步扩大企业环境责任报告发布范围，完善企业生态环境诚信体系。</w:t>
      </w:r>
    </w:p>
    <w:p w14:paraId="11A35805">
      <w:pPr>
        <w:spacing w:line="600" w:lineRule="exact"/>
        <w:ind w:firstLine="640"/>
        <w:rPr>
          <w:rFonts w:eastAsia="黑体"/>
          <w:szCs w:val="30"/>
        </w:rPr>
        <w:sectPr>
          <w:pgSz w:w="11906" w:h="16838"/>
          <w:pgMar w:top="1418" w:right="1247" w:bottom="1134" w:left="1247" w:header="851" w:footer="992" w:gutter="0"/>
          <w:cols w:space="425" w:num="1"/>
          <w:docGrid w:type="lines" w:linePitch="312" w:charSpace="0"/>
        </w:sectPr>
      </w:pPr>
    </w:p>
    <w:p w14:paraId="0549C692">
      <w:pPr>
        <w:pStyle w:val="6"/>
        <w:spacing w:before="240" w:after="120" w:line="360" w:lineRule="auto"/>
        <w:ind w:firstLine="0" w:firstLineChars="0"/>
        <w:rPr>
          <w:sz w:val="36"/>
          <w:szCs w:val="36"/>
        </w:rPr>
      </w:pPr>
      <w:bookmarkStart w:id="138" w:name="_Toc103937285"/>
      <w:bookmarkStart w:id="139" w:name="_Toc103937027"/>
      <w:r>
        <w:rPr>
          <w:rFonts w:hint="eastAsia"/>
          <w:sz w:val="36"/>
          <w:szCs w:val="36"/>
        </w:rPr>
        <w:t>附件</w:t>
      </w:r>
      <w:bookmarkEnd w:id="138"/>
      <w:bookmarkEnd w:id="139"/>
    </w:p>
    <w:p w14:paraId="030142F6">
      <w:pPr>
        <w:pStyle w:val="6"/>
        <w:spacing w:before="120" w:after="240" w:line="360" w:lineRule="auto"/>
        <w:ind w:firstLine="0" w:firstLineChars="0"/>
        <w:jc w:val="center"/>
        <w:rPr>
          <w:sz w:val="32"/>
          <w:szCs w:val="32"/>
        </w:rPr>
      </w:pPr>
      <w:bookmarkStart w:id="140" w:name="_Toc103937028"/>
      <w:bookmarkStart w:id="141" w:name="_Toc103937286"/>
      <w:r>
        <w:rPr>
          <w:rFonts w:hint="eastAsia"/>
          <w:sz w:val="36"/>
          <w:szCs w:val="36"/>
        </w:rPr>
        <w:t>闽侯县“十四五”生态环境保护规划名词解释</w:t>
      </w:r>
      <w:bookmarkEnd w:id="140"/>
      <w:bookmarkEnd w:id="141"/>
    </w:p>
    <w:p w14:paraId="2FBC9E29">
      <w:pPr>
        <w:widowControl/>
        <w:spacing w:before="234" w:beforeLines="75" w:after="78" w:afterLines="25"/>
        <w:ind w:firstLine="141" w:firstLineChars="44"/>
        <w:jc w:val="left"/>
        <w:rPr>
          <w:rFonts w:eastAsia="黑体"/>
          <w:b/>
          <w:bCs/>
          <w:kern w:val="0"/>
          <w:szCs w:val="32"/>
          <w:lang w:bidi="ar"/>
        </w:rPr>
      </w:pPr>
      <w:r>
        <w:rPr>
          <w:rFonts w:eastAsia="黑体"/>
          <w:b/>
          <w:bCs/>
          <w:kern w:val="0"/>
          <w:szCs w:val="32"/>
          <w:lang w:bidi="ar"/>
        </w:rPr>
        <w:t>1. “3820”战略工程</w:t>
      </w:r>
    </w:p>
    <w:p w14:paraId="05AAA0DF">
      <w:pPr>
        <w:pStyle w:val="2"/>
        <w:spacing w:after="0" w:afterAutospacing="0"/>
        <w:ind w:firstLine="640"/>
        <w:rPr>
          <w:szCs w:val="30"/>
        </w:rPr>
      </w:pPr>
      <w:r>
        <w:rPr>
          <w:rFonts w:ascii="Times New Roman" w:hAnsi="Times New Roman" w:cs="Times New Roman"/>
          <w:szCs w:val="30"/>
        </w:rPr>
        <w:t>1992</w:t>
      </w:r>
      <w:r>
        <w:rPr>
          <w:rFonts w:hint="eastAsia"/>
          <w:szCs w:val="30"/>
        </w:rPr>
        <w:t>年，时任中共福州市委书记的习近平同志主持编制了《福州市20年经济社会发展战略设想》,科学谋划了福州3年、8年、20年经济社会发展战略，简称“3820”战略工程。思想精髓主要包括放眼世界的宏大格局、高瞻远瞩的战略思维、科学系统的发展理念、人民至上的价值追求、开拓创新的奋斗精神、敢为人先的胆识魄力、实事求是的工作方法、马上就办的优良作风、滴水穿石的干劲韧劲、从严治党的政治担当等10个方面。</w:t>
      </w:r>
    </w:p>
    <w:p w14:paraId="43DA02ED">
      <w:pPr>
        <w:widowControl/>
        <w:spacing w:before="234" w:beforeLines="75" w:after="78" w:afterLines="25"/>
        <w:ind w:firstLine="141" w:firstLineChars="44"/>
        <w:jc w:val="left"/>
        <w:rPr>
          <w:rFonts w:eastAsia="黑体"/>
          <w:b/>
          <w:bCs/>
          <w:kern w:val="0"/>
          <w:szCs w:val="32"/>
          <w:lang w:bidi="ar"/>
        </w:rPr>
      </w:pPr>
      <w:r>
        <w:rPr>
          <w:rFonts w:eastAsia="黑体"/>
          <w:b/>
          <w:bCs/>
          <w:kern w:val="0"/>
          <w:szCs w:val="32"/>
          <w:lang w:bidi="ar"/>
        </w:rPr>
        <w:t>2. 绿盈乡村</w:t>
      </w:r>
    </w:p>
    <w:p w14:paraId="496290CA">
      <w:pPr>
        <w:pStyle w:val="2"/>
        <w:spacing w:after="0" w:afterAutospacing="0"/>
        <w:ind w:firstLine="640"/>
        <w:rPr>
          <w:szCs w:val="30"/>
        </w:rPr>
      </w:pPr>
      <w:r>
        <w:rPr>
          <w:szCs w:val="30"/>
        </w:rPr>
        <w:t>依据《福建省“绿盈乡村”建设工作指南（试行）》，建设凸</w:t>
      </w:r>
      <w:r>
        <w:rPr>
          <w:rFonts w:hint="eastAsia"/>
          <w:szCs w:val="30"/>
        </w:rPr>
        <w:t>显“山水林田湖草是一个生命共同体”理念，围绕“山更好、水更清、林更优、田更洁、天更蓝、海更净、业更兴、村更美”等八个方面目标，推动村庄在“绿化、绿韵、绿态、绿魂”。</w:t>
      </w:r>
    </w:p>
    <w:p w14:paraId="7DF603A3">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3</w:t>
      </w:r>
      <w:r>
        <w:rPr>
          <w:rFonts w:eastAsia="黑体"/>
          <w:b/>
          <w:bCs/>
          <w:kern w:val="0"/>
          <w:szCs w:val="32"/>
          <w:lang w:bidi="ar"/>
        </w:rPr>
        <w:t>. 三区三线</w:t>
      </w:r>
    </w:p>
    <w:p w14:paraId="6B68EEBB">
      <w:pPr>
        <w:pStyle w:val="2"/>
        <w:spacing w:after="0" w:afterAutospacing="0"/>
        <w:ind w:firstLine="640"/>
        <w:rPr>
          <w:szCs w:val="30"/>
        </w:rPr>
      </w:pPr>
      <w:r>
        <w:rPr>
          <w:szCs w:val="30"/>
        </w:rPr>
        <w:t>依据《关于建立国土空间规划体系并监督实施的若干意见》，</w:t>
      </w:r>
      <w:r>
        <w:rPr>
          <w:rFonts w:hint="eastAsia"/>
          <w:szCs w:val="30"/>
        </w:rPr>
        <w:t>根据城镇空间、农业空间、生态空间三种类型的空间，分别对应划定的城镇开发边界、永久基本农田保护红线、生态保护红线三条控制线。</w:t>
      </w:r>
    </w:p>
    <w:p w14:paraId="1CF2F904">
      <w:pPr>
        <w:pStyle w:val="2"/>
        <w:spacing w:after="0" w:afterAutospacing="0"/>
        <w:ind w:firstLine="640"/>
      </w:pPr>
      <w:r>
        <w:rPr>
          <w:rFonts w:hint="eastAsia"/>
        </w:rPr>
        <w:t>“三区三线”的划定是整合相关空间性规划的管控分区，统一规划基础，促进“多规合一”的重要举措，是中央对编制省级空间规划的明确要求；是以城市总体规划、土地利用总体规划、生态红线区域保护规划为主体，综合考虑其他部门专项规划，通过用地整理、边界规整、功能整合等措施，有助于促进空间功能划分更加清晰、用地特定属性更加明确，形成空间结构持续优化、空间资源有序开发的良好态势，为各部门统筹做好市域空间管控提供依据。</w:t>
      </w:r>
    </w:p>
    <w:p w14:paraId="4046178E">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4</w:t>
      </w:r>
      <w:r>
        <w:rPr>
          <w:rFonts w:eastAsia="黑体"/>
          <w:b/>
          <w:bCs/>
          <w:kern w:val="0"/>
          <w:szCs w:val="32"/>
          <w:lang w:bidi="ar"/>
        </w:rPr>
        <w:t xml:space="preserve">. </w:t>
      </w:r>
      <w:r>
        <w:rPr>
          <w:rFonts w:hint="eastAsia" w:eastAsia="黑体"/>
          <w:b/>
          <w:bCs/>
          <w:kern w:val="0"/>
          <w:szCs w:val="32"/>
          <w:lang w:bidi="ar"/>
        </w:rPr>
        <w:t>三线一单</w:t>
      </w:r>
    </w:p>
    <w:p w14:paraId="193AB86E">
      <w:pPr>
        <w:pStyle w:val="2"/>
        <w:spacing w:after="0" w:afterAutospacing="0"/>
        <w:ind w:firstLine="640"/>
        <w:rPr>
          <w:szCs w:val="30"/>
        </w:rPr>
      </w:pPr>
      <w:r>
        <w:rPr>
          <w:rFonts w:hint="eastAsia"/>
          <w:szCs w:val="30"/>
        </w:rPr>
        <w:t>依据原国家环境保护部印发《“生态保护红线、环境质量底线、资源利用上线和环境准入负面清单”编制技术指南（试行）》，“生态保护红线、环境质量底线、资源利用上线和环境准入负面清单”简称“三线一单”。</w:t>
      </w:r>
    </w:p>
    <w:p w14:paraId="1B158B1F">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5</w:t>
      </w:r>
      <w:r>
        <w:rPr>
          <w:rFonts w:eastAsia="黑体"/>
          <w:b/>
          <w:bCs/>
          <w:kern w:val="0"/>
          <w:szCs w:val="32"/>
          <w:lang w:bidi="ar"/>
        </w:rPr>
        <w:t xml:space="preserve">. </w:t>
      </w:r>
      <w:r>
        <w:rPr>
          <w:rFonts w:hint="eastAsia" w:eastAsia="黑体"/>
          <w:b/>
          <w:bCs/>
          <w:kern w:val="0"/>
          <w:szCs w:val="32"/>
          <w:lang w:bidi="ar"/>
        </w:rPr>
        <w:t>一江一湖一小镇一大街</w:t>
      </w:r>
    </w:p>
    <w:p w14:paraId="74F257EB">
      <w:pPr>
        <w:pStyle w:val="2"/>
        <w:ind w:firstLine="640"/>
        <w:rPr>
          <w:lang w:bidi="ar"/>
        </w:rPr>
      </w:pPr>
      <w:r>
        <w:rPr>
          <w:rFonts w:hint="eastAsia"/>
          <w:lang w:bidi="ar"/>
        </w:rPr>
        <w:t>即溪源江、旗山湖、侯官智能小镇、国宾大道科创大街。</w:t>
      </w:r>
    </w:p>
    <w:p w14:paraId="6DEC8C7A">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6</w:t>
      </w:r>
      <w:r>
        <w:rPr>
          <w:rFonts w:eastAsia="黑体"/>
          <w:b/>
          <w:bCs/>
          <w:kern w:val="0"/>
          <w:szCs w:val="32"/>
          <w:lang w:bidi="ar"/>
        </w:rPr>
        <w:t xml:space="preserve">. </w:t>
      </w:r>
      <w:r>
        <w:rPr>
          <w:rFonts w:hint="eastAsia" w:eastAsia="黑体"/>
          <w:b/>
          <w:bCs/>
          <w:kern w:val="0"/>
          <w:szCs w:val="32"/>
          <w:lang w:bidi="ar"/>
        </w:rPr>
        <w:t>一片多点</w:t>
      </w:r>
    </w:p>
    <w:p w14:paraId="77AC6F6E">
      <w:pPr>
        <w:pStyle w:val="2"/>
        <w:spacing w:after="0" w:afterAutospacing="0"/>
        <w:ind w:firstLine="640"/>
        <w:rPr>
          <w:lang w:bidi="ar"/>
        </w:rPr>
      </w:pPr>
      <w:r>
        <w:rPr>
          <w:rFonts w:hint="eastAsia"/>
          <w:lang w:bidi="ar"/>
        </w:rPr>
        <w:t>“一片”即大学城片区；“多点”即软件园闽侯分园、海盛磐基科学城，及周边科创点。</w:t>
      </w:r>
    </w:p>
    <w:p w14:paraId="778DB085">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7</w:t>
      </w:r>
      <w:r>
        <w:rPr>
          <w:rFonts w:eastAsia="黑体"/>
          <w:b/>
          <w:bCs/>
          <w:kern w:val="0"/>
          <w:szCs w:val="32"/>
          <w:lang w:bidi="ar"/>
        </w:rPr>
        <w:t>.</w:t>
      </w:r>
      <w:r>
        <w:rPr>
          <w:rFonts w:hint="eastAsia" w:eastAsia="黑体"/>
          <w:b/>
          <w:bCs/>
          <w:kern w:val="0"/>
          <w:szCs w:val="32"/>
          <w:lang w:bidi="ar"/>
        </w:rPr>
        <w:t xml:space="preserve"> 三创</w:t>
      </w:r>
    </w:p>
    <w:p w14:paraId="1322FC5E">
      <w:pPr>
        <w:pStyle w:val="2"/>
        <w:spacing w:after="0" w:afterAutospacing="0"/>
        <w:ind w:firstLine="640"/>
        <w:rPr>
          <w:szCs w:val="30"/>
        </w:rPr>
      </w:pPr>
      <w:r>
        <w:rPr>
          <w:rFonts w:hint="eastAsia"/>
          <w:szCs w:val="30"/>
        </w:rPr>
        <w:t>即创新、创业、创造。</w:t>
      </w:r>
    </w:p>
    <w:p w14:paraId="33152E64">
      <w:pPr>
        <w:widowControl/>
        <w:spacing w:before="234" w:beforeLines="75" w:after="78" w:afterLines="25"/>
        <w:ind w:firstLine="141" w:firstLineChars="44"/>
        <w:jc w:val="left"/>
        <w:rPr>
          <w:rFonts w:eastAsia="黑体"/>
          <w:b/>
          <w:bCs/>
          <w:kern w:val="0"/>
          <w:szCs w:val="32"/>
          <w:lang w:bidi="ar"/>
        </w:rPr>
      </w:pPr>
      <w:r>
        <w:rPr>
          <w:rFonts w:eastAsia="黑体"/>
          <w:b/>
          <w:bCs/>
          <w:kern w:val="0"/>
          <w:szCs w:val="32"/>
          <w:lang w:bidi="ar"/>
        </w:rPr>
        <w:t xml:space="preserve">8. </w:t>
      </w:r>
      <w:r>
        <w:rPr>
          <w:rFonts w:hint="eastAsia" w:eastAsia="黑体"/>
          <w:b/>
          <w:bCs/>
          <w:kern w:val="0"/>
          <w:szCs w:val="32"/>
          <w:lang w:bidi="ar"/>
        </w:rPr>
        <w:t>农业“63135”工程</w:t>
      </w:r>
    </w:p>
    <w:p w14:paraId="74F0BC79">
      <w:pPr>
        <w:pStyle w:val="2"/>
        <w:spacing w:after="0" w:afterAutospacing="0"/>
        <w:ind w:firstLine="640"/>
        <w:rPr>
          <w:szCs w:val="30"/>
        </w:rPr>
      </w:pPr>
      <w:r>
        <w:rPr>
          <w:rFonts w:hint="eastAsia"/>
          <w:szCs w:val="30"/>
        </w:rPr>
        <w:t>即做强6大特色优势产业（金鱼、概榄、畜禽、果蔬、茶叶、食用菌)，培育3大区域公用品牌（金鱼、筹榄、雪峰高山茶）,发展100家龙头企业,打造3条十亿元以上产业链条（金鱼全产业链、生猪全产业链、蔬菜全产业链），构建5大体系（加工、生产、经营、服务、保障）。</w:t>
      </w:r>
    </w:p>
    <w:p w14:paraId="420E26D5">
      <w:pPr>
        <w:widowControl/>
        <w:spacing w:before="234" w:beforeLines="75" w:after="78" w:afterLines="25"/>
        <w:ind w:firstLine="141" w:firstLineChars="44"/>
        <w:jc w:val="left"/>
        <w:rPr>
          <w:rFonts w:eastAsia="黑体"/>
          <w:b/>
          <w:bCs/>
          <w:kern w:val="0"/>
          <w:szCs w:val="32"/>
          <w:lang w:bidi="ar"/>
        </w:rPr>
      </w:pPr>
      <w:r>
        <w:rPr>
          <w:rFonts w:eastAsia="黑体"/>
          <w:b/>
          <w:bCs/>
          <w:kern w:val="0"/>
          <w:szCs w:val="32"/>
          <w:lang w:bidi="ar"/>
        </w:rPr>
        <w:t xml:space="preserve">9. </w:t>
      </w:r>
      <w:r>
        <w:rPr>
          <w:rFonts w:hint="eastAsia" w:eastAsia="黑体"/>
          <w:b/>
          <w:bCs/>
          <w:kern w:val="0"/>
          <w:szCs w:val="32"/>
          <w:lang w:bidi="ar"/>
        </w:rPr>
        <w:t>“闽侯菜丫好”</w:t>
      </w:r>
    </w:p>
    <w:p w14:paraId="3A773127">
      <w:pPr>
        <w:pStyle w:val="2"/>
        <w:spacing w:after="0" w:afterAutospacing="0"/>
        <w:ind w:firstLine="640"/>
        <w:rPr>
          <w:szCs w:val="30"/>
        </w:rPr>
      </w:pPr>
      <w:r>
        <w:rPr>
          <w:rFonts w:hint="eastAsia"/>
          <w:szCs w:val="30"/>
        </w:rPr>
        <w:t>2021年3月，习近平总书记来闽考察时提到闽侯蔬菜。总书记在福州工作期间，就十分重视“菜篮子”工程建设，曾多次提到“三天不见绿，两眼冒金星”这句老话，并把闽侯等地列为福州市最大的菜篮子基地。</w:t>
      </w:r>
    </w:p>
    <w:p w14:paraId="07A0F059">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1</w:t>
      </w:r>
      <w:r>
        <w:rPr>
          <w:rFonts w:eastAsia="黑体"/>
          <w:b/>
          <w:bCs/>
          <w:kern w:val="0"/>
          <w:szCs w:val="32"/>
          <w:lang w:bidi="ar"/>
        </w:rPr>
        <w:t>0. 污水零直排区</w:t>
      </w:r>
    </w:p>
    <w:p w14:paraId="100082CA">
      <w:pPr>
        <w:pStyle w:val="2"/>
        <w:spacing w:after="0" w:afterAutospacing="0"/>
        <w:ind w:firstLine="640"/>
        <w:rPr>
          <w:szCs w:val="30"/>
        </w:rPr>
      </w:pPr>
      <w:r>
        <w:rPr>
          <w:szCs w:val="30"/>
        </w:rPr>
        <w:t>以城镇、工业污水处理厂和管网建设为基础，以持续推进全</w:t>
      </w:r>
      <w:r>
        <w:rPr>
          <w:rFonts w:hint="eastAsia"/>
          <w:szCs w:val="30"/>
        </w:rPr>
        <w:t>面彻底的污水纳管和严格的雨污分流为核心，基本实现行政辖区内雨污管网全覆盖、污水全收集、雨污全分流、处理全达标，推动城镇污水处理厂尾水再生利用、农村污水全处理和养殖尾水生态化治理，建立完善长效运维机制，从源头到末端实现全过程控污。</w:t>
      </w:r>
    </w:p>
    <w:p w14:paraId="4C27063D">
      <w:pPr>
        <w:widowControl/>
        <w:spacing w:before="234" w:beforeLines="75" w:after="78" w:afterLines="25"/>
        <w:ind w:firstLine="141" w:firstLineChars="44"/>
        <w:jc w:val="left"/>
        <w:rPr>
          <w:rFonts w:eastAsia="黑体"/>
          <w:b/>
          <w:bCs/>
          <w:kern w:val="0"/>
          <w:szCs w:val="32"/>
          <w:lang w:bidi="ar"/>
        </w:rPr>
      </w:pPr>
      <w:r>
        <w:rPr>
          <w:rFonts w:eastAsia="黑体"/>
          <w:b/>
          <w:bCs/>
          <w:kern w:val="0"/>
          <w:szCs w:val="32"/>
          <w:lang w:bidi="ar"/>
        </w:rPr>
        <w:t xml:space="preserve">11. </w:t>
      </w:r>
      <w:r>
        <w:rPr>
          <w:rFonts w:hint="eastAsia" w:eastAsia="黑体"/>
          <w:b/>
          <w:bCs/>
          <w:kern w:val="0"/>
          <w:szCs w:val="32"/>
          <w:lang w:bidi="ar"/>
        </w:rPr>
        <w:t>五水共治</w:t>
      </w:r>
    </w:p>
    <w:p w14:paraId="4B20F0C9">
      <w:pPr>
        <w:ind w:firstLine="640"/>
        <w:rPr>
          <w:lang w:bidi="ar"/>
        </w:rPr>
      </w:pPr>
      <w:r>
        <w:rPr>
          <w:rFonts w:hint="eastAsia"/>
          <w:lang w:bidi="ar"/>
        </w:rPr>
        <w:t>即保供水、整河水、治涝水、净污水、抓节水。</w:t>
      </w:r>
    </w:p>
    <w:p w14:paraId="031C311C">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1</w:t>
      </w:r>
      <w:r>
        <w:rPr>
          <w:rFonts w:eastAsia="黑体"/>
          <w:b/>
          <w:bCs/>
          <w:kern w:val="0"/>
          <w:szCs w:val="32"/>
          <w:lang w:bidi="ar"/>
        </w:rPr>
        <w:t>2.</w:t>
      </w:r>
      <w:r>
        <w:rPr>
          <w:rFonts w:hint="eastAsia" w:eastAsia="黑体"/>
          <w:b/>
          <w:bCs/>
          <w:kern w:val="0"/>
          <w:szCs w:val="32"/>
          <w:lang w:bidi="ar"/>
        </w:rPr>
        <w:t xml:space="preserve"> “三水统筹”</w:t>
      </w:r>
    </w:p>
    <w:p w14:paraId="7ECF6EE9">
      <w:pPr>
        <w:pStyle w:val="2"/>
        <w:ind w:firstLine="640"/>
        <w:rPr>
          <w:lang w:bidi="ar"/>
        </w:rPr>
      </w:pPr>
      <w:r>
        <w:rPr>
          <w:rFonts w:hint="eastAsia"/>
          <w:lang w:bidi="ar"/>
        </w:rPr>
        <w:t>是指坚持“水环境、水生态、水资源”三水共治的原则，统筹谋划，科学布局。</w:t>
      </w:r>
    </w:p>
    <w:p w14:paraId="074F2AA8">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1</w:t>
      </w:r>
      <w:r>
        <w:rPr>
          <w:rFonts w:eastAsia="黑体"/>
          <w:b/>
          <w:bCs/>
          <w:kern w:val="0"/>
          <w:szCs w:val="32"/>
          <w:lang w:bidi="ar"/>
        </w:rPr>
        <w:t xml:space="preserve">3. </w:t>
      </w:r>
      <w:r>
        <w:rPr>
          <w:rFonts w:hint="eastAsia" w:eastAsia="黑体"/>
          <w:b/>
          <w:bCs/>
          <w:kern w:val="0"/>
          <w:szCs w:val="32"/>
          <w:lang w:bidi="ar"/>
        </w:rPr>
        <w:t>“清四乱”行动</w:t>
      </w:r>
    </w:p>
    <w:p w14:paraId="2CAEACC6">
      <w:pPr>
        <w:pStyle w:val="2"/>
        <w:spacing w:after="0" w:afterAutospacing="0"/>
        <w:ind w:firstLine="640"/>
        <w:rPr>
          <w:lang w:bidi="ar"/>
        </w:rPr>
      </w:pPr>
      <w:r>
        <w:rPr>
          <w:rFonts w:hint="eastAsia"/>
          <w:szCs w:val="30"/>
        </w:rPr>
        <w:t>“清四乱”</w:t>
      </w:r>
      <w:r>
        <w:rPr>
          <w:rFonts w:hint="eastAsia"/>
          <w:lang w:bidi="ar"/>
        </w:rPr>
        <w:t>行动，是指全面摸清和清理整治全县河库管理范围内“乱占、乱采、乱堆、乱建”等“四乱”突出问题，发现一处、清理一处、销号一处。</w:t>
      </w:r>
    </w:p>
    <w:p w14:paraId="506B8B2E">
      <w:pPr>
        <w:widowControl/>
        <w:spacing w:before="234" w:beforeLines="75" w:after="78" w:afterLines="25"/>
        <w:ind w:firstLine="141" w:firstLineChars="44"/>
        <w:jc w:val="left"/>
        <w:rPr>
          <w:rFonts w:eastAsia="黑体"/>
          <w:b/>
          <w:bCs/>
          <w:kern w:val="0"/>
          <w:szCs w:val="32"/>
          <w:lang w:bidi="ar"/>
        </w:rPr>
      </w:pPr>
      <w:r>
        <w:rPr>
          <w:rFonts w:eastAsia="黑体"/>
          <w:b/>
          <w:bCs/>
          <w:kern w:val="0"/>
          <w:szCs w:val="32"/>
          <w:lang w:bidi="ar"/>
        </w:rPr>
        <w:t xml:space="preserve">14. </w:t>
      </w:r>
      <w:r>
        <w:rPr>
          <w:rFonts w:hint="eastAsia" w:eastAsia="黑体"/>
          <w:b/>
          <w:bCs/>
          <w:kern w:val="0"/>
          <w:szCs w:val="32"/>
          <w:lang w:bidi="ar"/>
        </w:rPr>
        <w:t>“双超双有高耗能”行业</w:t>
      </w:r>
    </w:p>
    <w:p w14:paraId="3F8113D1">
      <w:pPr>
        <w:pStyle w:val="2"/>
        <w:spacing w:after="0" w:afterAutospacing="0"/>
        <w:ind w:firstLine="640"/>
        <w:rPr>
          <w:lang w:bidi="ar"/>
        </w:rPr>
      </w:pPr>
      <w:r>
        <w:rPr>
          <w:rFonts w:hint="eastAsia"/>
          <w:lang w:bidi="ar"/>
        </w:rPr>
        <w:t>污染物排放超过国家或者地方规定的排放标准（或者虽未超过国家或者地方规定的排放标准，但超过重点污染物排放总量控制指标)、使用有毒有害原料进行生产（或者在生产中排放有毒、有害物质)、超过单位产品能源消耗限额标准构成高耗能的行业。</w:t>
      </w:r>
    </w:p>
    <w:p w14:paraId="7A3D484A">
      <w:pPr>
        <w:widowControl/>
        <w:spacing w:before="234" w:beforeLines="75" w:after="78" w:afterLines="25"/>
        <w:ind w:firstLine="141" w:firstLineChars="44"/>
        <w:jc w:val="left"/>
        <w:rPr>
          <w:rFonts w:eastAsia="黑体"/>
          <w:b/>
          <w:bCs/>
          <w:kern w:val="0"/>
          <w:szCs w:val="32"/>
          <w:lang w:bidi="ar"/>
        </w:rPr>
      </w:pPr>
      <w:r>
        <w:rPr>
          <w:rFonts w:eastAsia="黑体"/>
          <w:b/>
          <w:bCs/>
          <w:kern w:val="0"/>
          <w:szCs w:val="32"/>
          <w:lang w:bidi="ar"/>
        </w:rPr>
        <w:t xml:space="preserve">15. </w:t>
      </w:r>
      <w:r>
        <w:rPr>
          <w:rFonts w:hint="eastAsia" w:eastAsia="黑体"/>
          <w:b/>
          <w:bCs/>
          <w:kern w:val="0"/>
          <w:szCs w:val="32"/>
          <w:lang w:bidi="ar"/>
        </w:rPr>
        <w:t>四有机制</w:t>
      </w:r>
    </w:p>
    <w:p w14:paraId="192B0E68">
      <w:pPr>
        <w:pStyle w:val="2"/>
        <w:spacing w:after="0" w:afterAutospacing="0"/>
        <w:ind w:firstLine="640"/>
        <w:rPr>
          <w:lang w:bidi="ar"/>
        </w:rPr>
      </w:pPr>
      <w:r>
        <w:rPr>
          <w:rFonts w:hint="eastAsia"/>
          <w:lang w:bidi="ar"/>
        </w:rPr>
        <w:t>即小流域整治“有专人负责、有监测设施、有考核办法、有长效机制”，是一套责任明确、协调有序、监管严格、保护有力的河流管护机制。</w:t>
      </w:r>
    </w:p>
    <w:p w14:paraId="2AE552E9">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1</w:t>
      </w:r>
      <w:r>
        <w:rPr>
          <w:rFonts w:eastAsia="黑体"/>
          <w:b/>
          <w:bCs/>
          <w:kern w:val="0"/>
          <w:szCs w:val="32"/>
          <w:lang w:bidi="ar"/>
        </w:rPr>
        <w:t xml:space="preserve">6. </w:t>
      </w:r>
      <w:r>
        <w:rPr>
          <w:rFonts w:hint="eastAsia" w:eastAsia="黑体"/>
          <w:b/>
          <w:bCs/>
          <w:kern w:val="0"/>
          <w:szCs w:val="32"/>
          <w:lang w:bidi="ar"/>
        </w:rPr>
        <w:t>三防三监控</w:t>
      </w:r>
    </w:p>
    <w:p w14:paraId="35877580">
      <w:pPr>
        <w:pStyle w:val="2"/>
        <w:spacing w:after="0" w:afterAutospacing="0"/>
        <w:ind w:firstLine="640"/>
      </w:pPr>
      <w:r>
        <w:rPr>
          <w:rFonts w:hint="eastAsia"/>
        </w:rPr>
        <w:t>依据《福建省土壤环境管理“三防三监控”技术指南（试行）》，为了规范污染地块土壤环境风险管控，根据土壤污染防治工作要求，结合我省土壤污染防治先行示范区的实践，总结出“防人体健康暴露风险、防渗漏、防扬洒，以及场内监测、场外监测、视频监控”的“三防三监控”的技术制度。</w:t>
      </w:r>
    </w:p>
    <w:p w14:paraId="7DA7ADBC">
      <w:pPr>
        <w:widowControl/>
        <w:spacing w:before="234" w:beforeLines="75" w:after="78" w:afterLines="25"/>
        <w:ind w:firstLine="141" w:firstLineChars="44"/>
        <w:jc w:val="left"/>
        <w:rPr>
          <w:rFonts w:eastAsia="黑体"/>
          <w:b/>
          <w:bCs/>
          <w:kern w:val="0"/>
          <w:szCs w:val="32"/>
          <w:lang w:bidi="ar"/>
        </w:rPr>
      </w:pPr>
      <w:r>
        <w:rPr>
          <w:rFonts w:eastAsia="黑体"/>
          <w:b/>
          <w:bCs/>
          <w:kern w:val="0"/>
          <w:szCs w:val="32"/>
          <w:lang w:bidi="ar"/>
        </w:rPr>
        <w:t xml:space="preserve">17. </w:t>
      </w:r>
      <w:r>
        <w:rPr>
          <w:rFonts w:hint="eastAsia" w:eastAsia="黑体"/>
          <w:b/>
          <w:bCs/>
          <w:kern w:val="0"/>
          <w:szCs w:val="32"/>
          <w:lang w:bidi="ar"/>
        </w:rPr>
        <w:t>双随机一公开</w:t>
      </w:r>
    </w:p>
    <w:p w14:paraId="7DF60CAC">
      <w:pPr>
        <w:spacing w:line="600" w:lineRule="exact"/>
        <w:ind w:firstLine="640"/>
        <w:rPr>
          <w:lang w:bidi="ar"/>
        </w:rPr>
      </w:pPr>
      <w:r>
        <w:rPr>
          <w:lang w:bidi="ar"/>
        </w:rPr>
        <w:t>是指执法检查部门从市场主体名录库中随机抽取一定比例的检查对象，从执法检查人员名录库中随机抽取执法检查人员，依照法定职责进行监督检查，并将抽查情况和查处结果向社会公开的活动。</w:t>
      </w:r>
    </w:p>
    <w:p w14:paraId="3B47E0C5">
      <w:pPr>
        <w:widowControl/>
        <w:spacing w:before="234" w:beforeLines="75" w:after="78" w:afterLines="25"/>
        <w:ind w:firstLine="141" w:firstLineChars="44"/>
        <w:jc w:val="left"/>
        <w:rPr>
          <w:rFonts w:eastAsia="黑体"/>
          <w:b/>
          <w:bCs/>
          <w:kern w:val="0"/>
          <w:szCs w:val="32"/>
          <w:lang w:bidi="ar"/>
        </w:rPr>
      </w:pPr>
      <w:r>
        <w:rPr>
          <w:rFonts w:hint="eastAsia" w:eastAsia="黑体"/>
          <w:b/>
          <w:bCs/>
          <w:kern w:val="0"/>
          <w:szCs w:val="32"/>
          <w:lang w:bidi="ar"/>
        </w:rPr>
        <w:t>1</w:t>
      </w:r>
      <w:r>
        <w:rPr>
          <w:rFonts w:eastAsia="黑体"/>
          <w:b/>
          <w:bCs/>
          <w:kern w:val="0"/>
          <w:szCs w:val="32"/>
          <w:lang w:bidi="ar"/>
        </w:rPr>
        <w:t xml:space="preserve">8. </w:t>
      </w:r>
      <w:r>
        <w:rPr>
          <w:rFonts w:hint="eastAsia" w:eastAsia="黑体"/>
          <w:b/>
          <w:bCs/>
          <w:kern w:val="0"/>
          <w:szCs w:val="32"/>
          <w:lang w:bidi="ar"/>
        </w:rPr>
        <w:t>一闸三线</w:t>
      </w:r>
    </w:p>
    <w:p w14:paraId="12A6762A">
      <w:pPr>
        <w:spacing w:line="600" w:lineRule="exact"/>
        <w:ind w:firstLine="640"/>
        <w:rPr>
          <w:lang w:bidi="ar"/>
        </w:rPr>
      </w:pPr>
      <w:r>
        <w:rPr>
          <w:rFonts w:hint="eastAsia"/>
          <w:lang w:bidi="ar"/>
        </w:rPr>
        <w:t>即闽江口及平潭水资源配置工程，工程包括“一闸三线”，一闸即大樟溪莒口拦河闸，是本工程的主水源；北线是从闽江竹岐引水至大樟溪莒口水闸，用于补充大樟溪枯水期水量；中线是从莒口水闸至闽侯三溪口水库、青口、长乐；南线</w:t>
      </w:r>
      <w:r>
        <w:rPr>
          <w:rFonts w:hint="eastAsia"/>
          <w:lang w:val="en-US" w:eastAsia="zh-CN" w:bidi="ar"/>
        </w:rPr>
        <w:t>即</w:t>
      </w:r>
      <w:r>
        <w:rPr>
          <w:rFonts w:hint="eastAsia"/>
          <w:lang w:bidi="ar"/>
        </w:rPr>
        <w:t>从莒口水闸至福清东张水库、平潭三十六脚湖。</w:t>
      </w:r>
    </w:p>
    <w:sectPr>
      <w:pgSz w:w="11906" w:h="16838"/>
      <w:pgMar w:top="1418" w:right="1247" w:bottom="1134" w:left="124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DejaVu Math TeX Gyre"/>
    <w:panose1 w:val="02040503050406030204"/>
    <w:charset w:val="00"/>
    <w:family w:val="roman"/>
    <w:pitch w:val="default"/>
    <w:sig w:usb0="00000000" w:usb1="00000000"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C7E18">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61162">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4B6EC">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55510">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170E7">
    <w:pPr>
      <w:pStyle w:val="1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46227">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9387998"/>
    </w:sdtPr>
    <w:sdtEndPr>
      <w:rPr>
        <w:lang w:val="zh-CN"/>
      </w:rPr>
    </w:sdtEndPr>
    <w:sdtContent>
      <w:p w14:paraId="4260EC7C">
        <w:pPr>
          <w:pStyle w:val="16"/>
          <w:spacing w:before="120" w:beforeLines="50"/>
          <w:ind w:firstLine="36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18</w:t>
        </w:r>
        <w:r>
          <w:rPr>
            <w:sz w:val="21"/>
            <w:szCs w:val="21"/>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E99E9">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DE9D1">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CEC8B">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1DE83">
    <w:pPr>
      <w:pStyle w:val="4"/>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05E1">
    <w:pPr>
      <w:pStyle w:val="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15C1">
    <w:pPr>
      <w:pStyle w:val="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B0278">
    <w:pPr>
      <w:pStyle w:val="4"/>
      <w:ind w:firstLine="0" w:firstLineChars="0"/>
      <w:rPr>
        <w:rFonts w:asciiTheme="minorEastAsia" w:hAnsiTheme="minorEastAsia" w:eastAsiaTheme="minorEastAsia"/>
        <w:sz w:val="21"/>
      </w:rPr>
    </w:pPr>
    <w:r>
      <w:rPr>
        <w:rFonts w:hint="eastAsia" w:asciiTheme="minorEastAsia" w:hAnsiTheme="minorEastAsia" w:eastAsiaTheme="minorEastAsia"/>
        <w:sz w:val="21"/>
      </w:rPr>
      <w:t>闽侯县“十四五”生态环境保护规划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iYWZiYWU3OGE3MzcyYTcwMDIwZDU2MjM1ZGIwMDMifQ=="/>
    <w:docVar w:name="KSO_WPS_MARK_KEY" w:val="0be4eb39-3f5a-4b06-a225-ba7edcce037a"/>
  </w:docVars>
  <w:rsids>
    <w:rsidRoot w:val="005B5474"/>
    <w:rsid w:val="000136F0"/>
    <w:rsid w:val="0002170E"/>
    <w:rsid w:val="00023E33"/>
    <w:rsid w:val="00030A73"/>
    <w:rsid w:val="00031C06"/>
    <w:rsid w:val="00041E9A"/>
    <w:rsid w:val="000475E5"/>
    <w:rsid w:val="000646FD"/>
    <w:rsid w:val="0007102B"/>
    <w:rsid w:val="00075070"/>
    <w:rsid w:val="00075F8F"/>
    <w:rsid w:val="00087CD5"/>
    <w:rsid w:val="00093791"/>
    <w:rsid w:val="00097BAA"/>
    <w:rsid w:val="000A7892"/>
    <w:rsid w:val="000B290F"/>
    <w:rsid w:val="000B4178"/>
    <w:rsid w:val="000B5FF1"/>
    <w:rsid w:val="000C42AC"/>
    <w:rsid w:val="000E41E8"/>
    <w:rsid w:val="000E73C7"/>
    <w:rsid w:val="000F13AC"/>
    <w:rsid w:val="000F3749"/>
    <w:rsid w:val="000F718B"/>
    <w:rsid w:val="00110B0E"/>
    <w:rsid w:val="00115A9B"/>
    <w:rsid w:val="001179EE"/>
    <w:rsid w:val="0013146D"/>
    <w:rsid w:val="001373C3"/>
    <w:rsid w:val="001478B8"/>
    <w:rsid w:val="00147A7B"/>
    <w:rsid w:val="00154D9C"/>
    <w:rsid w:val="00156675"/>
    <w:rsid w:val="001566A5"/>
    <w:rsid w:val="001566D6"/>
    <w:rsid w:val="001600F7"/>
    <w:rsid w:val="00163A6A"/>
    <w:rsid w:val="001707B7"/>
    <w:rsid w:val="0017196F"/>
    <w:rsid w:val="0017542E"/>
    <w:rsid w:val="00175A69"/>
    <w:rsid w:val="00184254"/>
    <w:rsid w:val="00184EAF"/>
    <w:rsid w:val="00184EDB"/>
    <w:rsid w:val="001856B2"/>
    <w:rsid w:val="00186788"/>
    <w:rsid w:val="00193AC4"/>
    <w:rsid w:val="001C651A"/>
    <w:rsid w:val="001E549A"/>
    <w:rsid w:val="00201907"/>
    <w:rsid w:val="00205F92"/>
    <w:rsid w:val="0021030F"/>
    <w:rsid w:val="002148D5"/>
    <w:rsid w:val="00214AC4"/>
    <w:rsid w:val="002304FB"/>
    <w:rsid w:val="002373FE"/>
    <w:rsid w:val="00240496"/>
    <w:rsid w:val="00241D2C"/>
    <w:rsid w:val="002467E3"/>
    <w:rsid w:val="00251F9F"/>
    <w:rsid w:val="00252119"/>
    <w:rsid w:val="00255AAA"/>
    <w:rsid w:val="0026334B"/>
    <w:rsid w:val="00265064"/>
    <w:rsid w:val="00271E09"/>
    <w:rsid w:val="002736B2"/>
    <w:rsid w:val="00281994"/>
    <w:rsid w:val="00291899"/>
    <w:rsid w:val="00295BD9"/>
    <w:rsid w:val="002A054E"/>
    <w:rsid w:val="002A4772"/>
    <w:rsid w:val="002A7235"/>
    <w:rsid w:val="002B2E2E"/>
    <w:rsid w:val="002B3543"/>
    <w:rsid w:val="002B63BD"/>
    <w:rsid w:val="002C3D34"/>
    <w:rsid w:val="002D0988"/>
    <w:rsid w:val="002E37CD"/>
    <w:rsid w:val="002F2FFE"/>
    <w:rsid w:val="003017B0"/>
    <w:rsid w:val="0031487E"/>
    <w:rsid w:val="00322711"/>
    <w:rsid w:val="003243B1"/>
    <w:rsid w:val="003379F4"/>
    <w:rsid w:val="00337D62"/>
    <w:rsid w:val="00340DC0"/>
    <w:rsid w:val="00341034"/>
    <w:rsid w:val="00345A3C"/>
    <w:rsid w:val="00351FEB"/>
    <w:rsid w:val="003559DA"/>
    <w:rsid w:val="003575EA"/>
    <w:rsid w:val="00363D4C"/>
    <w:rsid w:val="00363E45"/>
    <w:rsid w:val="003642CA"/>
    <w:rsid w:val="00376AB1"/>
    <w:rsid w:val="00377273"/>
    <w:rsid w:val="00381D94"/>
    <w:rsid w:val="0038429B"/>
    <w:rsid w:val="0038448D"/>
    <w:rsid w:val="003A01D9"/>
    <w:rsid w:val="003B0960"/>
    <w:rsid w:val="003C0FA0"/>
    <w:rsid w:val="003C6623"/>
    <w:rsid w:val="003E7A7C"/>
    <w:rsid w:val="003F1040"/>
    <w:rsid w:val="003F1A19"/>
    <w:rsid w:val="003F5F43"/>
    <w:rsid w:val="003F74B5"/>
    <w:rsid w:val="0040035C"/>
    <w:rsid w:val="0040234E"/>
    <w:rsid w:val="00404181"/>
    <w:rsid w:val="0040540C"/>
    <w:rsid w:val="00406F77"/>
    <w:rsid w:val="00410362"/>
    <w:rsid w:val="00423279"/>
    <w:rsid w:val="00423C6B"/>
    <w:rsid w:val="00425E73"/>
    <w:rsid w:val="0044300A"/>
    <w:rsid w:val="00451CDF"/>
    <w:rsid w:val="004544EA"/>
    <w:rsid w:val="00454FA9"/>
    <w:rsid w:val="00456731"/>
    <w:rsid w:val="00461641"/>
    <w:rsid w:val="004726EB"/>
    <w:rsid w:val="00472CE7"/>
    <w:rsid w:val="0049451F"/>
    <w:rsid w:val="004A346D"/>
    <w:rsid w:val="004A79D3"/>
    <w:rsid w:val="004C22EB"/>
    <w:rsid w:val="004C37AA"/>
    <w:rsid w:val="004C7C70"/>
    <w:rsid w:val="004D2829"/>
    <w:rsid w:val="004D66F2"/>
    <w:rsid w:val="004F0CAB"/>
    <w:rsid w:val="004F3210"/>
    <w:rsid w:val="0050101D"/>
    <w:rsid w:val="00505465"/>
    <w:rsid w:val="00513A14"/>
    <w:rsid w:val="00513A5A"/>
    <w:rsid w:val="005247FC"/>
    <w:rsid w:val="00525CFD"/>
    <w:rsid w:val="00553D14"/>
    <w:rsid w:val="0055451D"/>
    <w:rsid w:val="00555922"/>
    <w:rsid w:val="00564B70"/>
    <w:rsid w:val="00566A6D"/>
    <w:rsid w:val="005671DA"/>
    <w:rsid w:val="005842D2"/>
    <w:rsid w:val="005877DE"/>
    <w:rsid w:val="0059037A"/>
    <w:rsid w:val="00590526"/>
    <w:rsid w:val="00590D3C"/>
    <w:rsid w:val="00590E71"/>
    <w:rsid w:val="005A0EAE"/>
    <w:rsid w:val="005A227B"/>
    <w:rsid w:val="005B3FB2"/>
    <w:rsid w:val="005B5474"/>
    <w:rsid w:val="005C4D2C"/>
    <w:rsid w:val="005D25F9"/>
    <w:rsid w:val="005D32D4"/>
    <w:rsid w:val="005D7975"/>
    <w:rsid w:val="005E0320"/>
    <w:rsid w:val="005E2C7E"/>
    <w:rsid w:val="005E5756"/>
    <w:rsid w:val="005F51BC"/>
    <w:rsid w:val="005F7E4E"/>
    <w:rsid w:val="00605B00"/>
    <w:rsid w:val="00606E35"/>
    <w:rsid w:val="00613D42"/>
    <w:rsid w:val="0063164C"/>
    <w:rsid w:val="0063771F"/>
    <w:rsid w:val="00641032"/>
    <w:rsid w:val="00642840"/>
    <w:rsid w:val="00645B4A"/>
    <w:rsid w:val="00655771"/>
    <w:rsid w:val="0066161D"/>
    <w:rsid w:val="00661E69"/>
    <w:rsid w:val="00670597"/>
    <w:rsid w:val="006771C6"/>
    <w:rsid w:val="0068419A"/>
    <w:rsid w:val="006913FB"/>
    <w:rsid w:val="006A3B65"/>
    <w:rsid w:val="006B312A"/>
    <w:rsid w:val="006C0D4C"/>
    <w:rsid w:val="006C4DD5"/>
    <w:rsid w:val="006D50B0"/>
    <w:rsid w:val="006D50C3"/>
    <w:rsid w:val="006E2806"/>
    <w:rsid w:val="006E6C3C"/>
    <w:rsid w:val="006F057B"/>
    <w:rsid w:val="0070108A"/>
    <w:rsid w:val="0071130E"/>
    <w:rsid w:val="00717606"/>
    <w:rsid w:val="00717CED"/>
    <w:rsid w:val="0073097A"/>
    <w:rsid w:val="007335C8"/>
    <w:rsid w:val="0073478C"/>
    <w:rsid w:val="00734DB9"/>
    <w:rsid w:val="00736A0F"/>
    <w:rsid w:val="00741001"/>
    <w:rsid w:val="0074330D"/>
    <w:rsid w:val="00743C4D"/>
    <w:rsid w:val="00746702"/>
    <w:rsid w:val="007476E2"/>
    <w:rsid w:val="0075546F"/>
    <w:rsid w:val="007628B1"/>
    <w:rsid w:val="00764C62"/>
    <w:rsid w:val="00765058"/>
    <w:rsid w:val="0076654D"/>
    <w:rsid w:val="007736A5"/>
    <w:rsid w:val="00776AE9"/>
    <w:rsid w:val="0078376D"/>
    <w:rsid w:val="00790F4D"/>
    <w:rsid w:val="007A4D1F"/>
    <w:rsid w:val="007B6462"/>
    <w:rsid w:val="007B7926"/>
    <w:rsid w:val="007C1283"/>
    <w:rsid w:val="007D7B8A"/>
    <w:rsid w:val="007E1E1F"/>
    <w:rsid w:val="007E5070"/>
    <w:rsid w:val="007F0455"/>
    <w:rsid w:val="007F18EF"/>
    <w:rsid w:val="007F3496"/>
    <w:rsid w:val="00803988"/>
    <w:rsid w:val="008126B1"/>
    <w:rsid w:val="00816F12"/>
    <w:rsid w:val="008221EB"/>
    <w:rsid w:val="00822F82"/>
    <w:rsid w:val="00833B92"/>
    <w:rsid w:val="008351E5"/>
    <w:rsid w:val="00837B33"/>
    <w:rsid w:val="00853A7A"/>
    <w:rsid w:val="00860D0E"/>
    <w:rsid w:val="00864922"/>
    <w:rsid w:val="00864985"/>
    <w:rsid w:val="00864C82"/>
    <w:rsid w:val="008712D2"/>
    <w:rsid w:val="0087526D"/>
    <w:rsid w:val="00875A0D"/>
    <w:rsid w:val="00876DFC"/>
    <w:rsid w:val="0088107D"/>
    <w:rsid w:val="00881604"/>
    <w:rsid w:val="00885103"/>
    <w:rsid w:val="00885560"/>
    <w:rsid w:val="008870CA"/>
    <w:rsid w:val="00891618"/>
    <w:rsid w:val="00892609"/>
    <w:rsid w:val="008A49D5"/>
    <w:rsid w:val="008B24D2"/>
    <w:rsid w:val="008C0EB5"/>
    <w:rsid w:val="008C17B8"/>
    <w:rsid w:val="008C5309"/>
    <w:rsid w:val="008C5A75"/>
    <w:rsid w:val="008C7DAE"/>
    <w:rsid w:val="008D0F2A"/>
    <w:rsid w:val="008D1EBC"/>
    <w:rsid w:val="008E02D1"/>
    <w:rsid w:val="008E0BA9"/>
    <w:rsid w:val="008F2C0B"/>
    <w:rsid w:val="008F5877"/>
    <w:rsid w:val="008F7C4D"/>
    <w:rsid w:val="00902486"/>
    <w:rsid w:val="009114D0"/>
    <w:rsid w:val="00911F79"/>
    <w:rsid w:val="00914303"/>
    <w:rsid w:val="009166B8"/>
    <w:rsid w:val="00940C32"/>
    <w:rsid w:val="00955156"/>
    <w:rsid w:val="0095555B"/>
    <w:rsid w:val="00955E91"/>
    <w:rsid w:val="0096275B"/>
    <w:rsid w:val="00975BA4"/>
    <w:rsid w:val="009876A9"/>
    <w:rsid w:val="009A5FD7"/>
    <w:rsid w:val="009D39F5"/>
    <w:rsid w:val="009D4A6A"/>
    <w:rsid w:val="00A018EF"/>
    <w:rsid w:val="00A04288"/>
    <w:rsid w:val="00A042E1"/>
    <w:rsid w:val="00A0479D"/>
    <w:rsid w:val="00A049D1"/>
    <w:rsid w:val="00A0561E"/>
    <w:rsid w:val="00A134B7"/>
    <w:rsid w:val="00A159DD"/>
    <w:rsid w:val="00A16835"/>
    <w:rsid w:val="00A17082"/>
    <w:rsid w:val="00A207F0"/>
    <w:rsid w:val="00A25DD6"/>
    <w:rsid w:val="00A327AC"/>
    <w:rsid w:val="00A32D4D"/>
    <w:rsid w:val="00A540A1"/>
    <w:rsid w:val="00A60204"/>
    <w:rsid w:val="00A63AFB"/>
    <w:rsid w:val="00A65410"/>
    <w:rsid w:val="00A71066"/>
    <w:rsid w:val="00A7593A"/>
    <w:rsid w:val="00A8783C"/>
    <w:rsid w:val="00A93431"/>
    <w:rsid w:val="00A93A6F"/>
    <w:rsid w:val="00AA7B51"/>
    <w:rsid w:val="00AB46F0"/>
    <w:rsid w:val="00AC1979"/>
    <w:rsid w:val="00AC2FD0"/>
    <w:rsid w:val="00AC4E03"/>
    <w:rsid w:val="00AC72A8"/>
    <w:rsid w:val="00AD63D0"/>
    <w:rsid w:val="00AE38D7"/>
    <w:rsid w:val="00AF4C7B"/>
    <w:rsid w:val="00AF77D7"/>
    <w:rsid w:val="00B00085"/>
    <w:rsid w:val="00B03396"/>
    <w:rsid w:val="00B04E01"/>
    <w:rsid w:val="00B14B47"/>
    <w:rsid w:val="00B16585"/>
    <w:rsid w:val="00B17254"/>
    <w:rsid w:val="00B17B80"/>
    <w:rsid w:val="00B279C0"/>
    <w:rsid w:val="00B34CE3"/>
    <w:rsid w:val="00B51FCE"/>
    <w:rsid w:val="00B54E9B"/>
    <w:rsid w:val="00B644A7"/>
    <w:rsid w:val="00B7182A"/>
    <w:rsid w:val="00B72195"/>
    <w:rsid w:val="00B745D7"/>
    <w:rsid w:val="00B75F7D"/>
    <w:rsid w:val="00B86949"/>
    <w:rsid w:val="00B9593D"/>
    <w:rsid w:val="00BA602C"/>
    <w:rsid w:val="00BB0274"/>
    <w:rsid w:val="00BB274B"/>
    <w:rsid w:val="00BB27FF"/>
    <w:rsid w:val="00BB4D9F"/>
    <w:rsid w:val="00BB5BF5"/>
    <w:rsid w:val="00BC1E37"/>
    <w:rsid w:val="00BC2603"/>
    <w:rsid w:val="00BC2E41"/>
    <w:rsid w:val="00BC6BE8"/>
    <w:rsid w:val="00BD1DCC"/>
    <w:rsid w:val="00BD4706"/>
    <w:rsid w:val="00BD4AE6"/>
    <w:rsid w:val="00BE3084"/>
    <w:rsid w:val="00BE6793"/>
    <w:rsid w:val="00BF22DA"/>
    <w:rsid w:val="00BF7DCB"/>
    <w:rsid w:val="00C053C1"/>
    <w:rsid w:val="00C12EBD"/>
    <w:rsid w:val="00C13F68"/>
    <w:rsid w:val="00C26CB4"/>
    <w:rsid w:val="00C2708B"/>
    <w:rsid w:val="00C34C57"/>
    <w:rsid w:val="00C42D5F"/>
    <w:rsid w:val="00C47965"/>
    <w:rsid w:val="00C51AB3"/>
    <w:rsid w:val="00C51CC6"/>
    <w:rsid w:val="00C6046D"/>
    <w:rsid w:val="00C655FF"/>
    <w:rsid w:val="00C6787A"/>
    <w:rsid w:val="00C761BF"/>
    <w:rsid w:val="00C901A0"/>
    <w:rsid w:val="00C911D5"/>
    <w:rsid w:val="00C961FD"/>
    <w:rsid w:val="00C979CC"/>
    <w:rsid w:val="00CA7B3A"/>
    <w:rsid w:val="00CB657C"/>
    <w:rsid w:val="00CB748C"/>
    <w:rsid w:val="00CC08D9"/>
    <w:rsid w:val="00CC1372"/>
    <w:rsid w:val="00CC2EED"/>
    <w:rsid w:val="00CD45DF"/>
    <w:rsid w:val="00CD519E"/>
    <w:rsid w:val="00CD54A0"/>
    <w:rsid w:val="00CD59E9"/>
    <w:rsid w:val="00CD611A"/>
    <w:rsid w:val="00CE0934"/>
    <w:rsid w:val="00CE4EBD"/>
    <w:rsid w:val="00CF3613"/>
    <w:rsid w:val="00CF3EAC"/>
    <w:rsid w:val="00CF4B13"/>
    <w:rsid w:val="00D0123A"/>
    <w:rsid w:val="00D04A42"/>
    <w:rsid w:val="00D134F4"/>
    <w:rsid w:val="00D14B25"/>
    <w:rsid w:val="00D153F4"/>
    <w:rsid w:val="00D16E9C"/>
    <w:rsid w:val="00D2259B"/>
    <w:rsid w:val="00D27ADB"/>
    <w:rsid w:val="00D30B87"/>
    <w:rsid w:val="00D32720"/>
    <w:rsid w:val="00D5564D"/>
    <w:rsid w:val="00D609D4"/>
    <w:rsid w:val="00D64CDB"/>
    <w:rsid w:val="00D70032"/>
    <w:rsid w:val="00D70363"/>
    <w:rsid w:val="00D76C58"/>
    <w:rsid w:val="00D77F44"/>
    <w:rsid w:val="00D94F37"/>
    <w:rsid w:val="00D96C19"/>
    <w:rsid w:val="00DA0D7F"/>
    <w:rsid w:val="00DA293F"/>
    <w:rsid w:val="00DA740D"/>
    <w:rsid w:val="00DC170B"/>
    <w:rsid w:val="00DD1557"/>
    <w:rsid w:val="00DD35B5"/>
    <w:rsid w:val="00DD5212"/>
    <w:rsid w:val="00DE521D"/>
    <w:rsid w:val="00DE5BB5"/>
    <w:rsid w:val="00DE7FAB"/>
    <w:rsid w:val="00E00FF2"/>
    <w:rsid w:val="00E07703"/>
    <w:rsid w:val="00E2160B"/>
    <w:rsid w:val="00E26C05"/>
    <w:rsid w:val="00E26DFD"/>
    <w:rsid w:val="00E34E34"/>
    <w:rsid w:val="00E37C4C"/>
    <w:rsid w:val="00E43F06"/>
    <w:rsid w:val="00E47683"/>
    <w:rsid w:val="00E54BD0"/>
    <w:rsid w:val="00E562B5"/>
    <w:rsid w:val="00E57F59"/>
    <w:rsid w:val="00E71992"/>
    <w:rsid w:val="00E73642"/>
    <w:rsid w:val="00E82015"/>
    <w:rsid w:val="00E84674"/>
    <w:rsid w:val="00E8498C"/>
    <w:rsid w:val="00E86263"/>
    <w:rsid w:val="00E868B0"/>
    <w:rsid w:val="00E9604A"/>
    <w:rsid w:val="00EA0BE5"/>
    <w:rsid w:val="00EA133F"/>
    <w:rsid w:val="00EB35C4"/>
    <w:rsid w:val="00EC1B82"/>
    <w:rsid w:val="00ED0D82"/>
    <w:rsid w:val="00ED4F8E"/>
    <w:rsid w:val="00EE617B"/>
    <w:rsid w:val="00EF4280"/>
    <w:rsid w:val="00EF52CF"/>
    <w:rsid w:val="00F0559F"/>
    <w:rsid w:val="00F061D1"/>
    <w:rsid w:val="00F06C10"/>
    <w:rsid w:val="00F178E2"/>
    <w:rsid w:val="00F2551E"/>
    <w:rsid w:val="00F3264E"/>
    <w:rsid w:val="00F335A9"/>
    <w:rsid w:val="00F43482"/>
    <w:rsid w:val="00F548D4"/>
    <w:rsid w:val="00F630A9"/>
    <w:rsid w:val="00F63D3D"/>
    <w:rsid w:val="00F63DA0"/>
    <w:rsid w:val="00F66CD0"/>
    <w:rsid w:val="00F771A7"/>
    <w:rsid w:val="00F776F1"/>
    <w:rsid w:val="00F777E2"/>
    <w:rsid w:val="00F829A1"/>
    <w:rsid w:val="00F90076"/>
    <w:rsid w:val="00F91EB9"/>
    <w:rsid w:val="00F929CF"/>
    <w:rsid w:val="00F92DAF"/>
    <w:rsid w:val="00F93F02"/>
    <w:rsid w:val="00F97735"/>
    <w:rsid w:val="00FA20E6"/>
    <w:rsid w:val="00FA5800"/>
    <w:rsid w:val="00FA5C6E"/>
    <w:rsid w:val="00FA5C8C"/>
    <w:rsid w:val="00FA5FFB"/>
    <w:rsid w:val="00FB2553"/>
    <w:rsid w:val="00FB4E8F"/>
    <w:rsid w:val="00FC02B6"/>
    <w:rsid w:val="00FC66FF"/>
    <w:rsid w:val="00FD1A41"/>
    <w:rsid w:val="00FD57AB"/>
    <w:rsid w:val="00FE021F"/>
    <w:rsid w:val="00FE79AE"/>
    <w:rsid w:val="00FF16EF"/>
    <w:rsid w:val="00FF5A06"/>
    <w:rsid w:val="00FF7BBE"/>
    <w:rsid w:val="01D04188"/>
    <w:rsid w:val="046876E6"/>
    <w:rsid w:val="09583A20"/>
    <w:rsid w:val="16997597"/>
    <w:rsid w:val="19C5794E"/>
    <w:rsid w:val="1A6148BB"/>
    <w:rsid w:val="1A8C714A"/>
    <w:rsid w:val="1B4C3658"/>
    <w:rsid w:val="1C8F342F"/>
    <w:rsid w:val="20331DDC"/>
    <w:rsid w:val="20B43914"/>
    <w:rsid w:val="24276390"/>
    <w:rsid w:val="2C0E7C9E"/>
    <w:rsid w:val="2F8A61DD"/>
    <w:rsid w:val="35862EE2"/>
    <w:rsid w:val="3B912067"/>
    <w:rsid w:val="3FA736DA"/>
    <w:rsid w:val="41025FBD"/>
    <w:rsid w:val="42341383"/>
    <w:rsid w:val="4B254195"/>
    <w:rsid w:val="4CBA4888"/>
    <w:rsid w:val="50523274"/>
    <w:rsid w:val="50F4654B"/>
    <w:rsid w:val="549B7A96"/>
    <w:rsid w:val="5672754F"/>
    <w:rsid w:val="5AA93841"/>
    <w:rsid w:val="5EFB6CAD"/>
    <w:rsid w:val="645763AC"/>
    <w:rsid w:val="68970267"/>
    <w:rsid w:val="6E7C0237"/>
    <w:rsid w:val="70A42D05"/>
    <w:rsid w:val="70BD2B4F"/>
    <w:rsid w:val="736F651D"/>
    <w:rsid w:val="754C0FCB"/>
    <w:rsid w:val="795F3C21"/>
    <w:rsid w:val="7B5D3327"/>
    <w:rsid w:val="7E634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Times New Roman" w:hAnsi="Times New Roman" w:eastAsia="仿宋_GB2312" w:cs="Times New Roman"/>
      <w:kern w:val="2"/>
      <w:sz w:val="32"/>
      <w:szCs w:val="28"/>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8">
    <w:name w:val="heading 3"/>
    <w:basedOn w:val="1"/>
    <w:next w:val="1"/>
    <w:link w:val="31"/>
    <w:unhideWhenUsed/>
    <w:qFormat/>
    <w:uiPriority w:val="9"/>
    <w:pPr>
      <w:keepNext/>
      <w:keepLines/>
      <w:spacing w:before="180" w:after="120"/>
      <w:outlineLvl w:val="2"/>
    </w:pPr>
    <w:rPr>
      <w:b/>
      <w:bCs/>
      <w:szCs w:val="32"/>
    </w:rPr>
  </w:style>
  <w:style w:type="character" w:default="1" w:styleId="26">
    <w:name w:val="Default Paragraph Font"/>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200" w:firstLineChars="200"/>
    </w:pPr>
  </w:style>
  <w:style w:type="paragraph" w:styleId="3">
    <w:name w:val="Body Text Indent"/>
    <w:basedOn w:val="1"/>
    <w:next w:val="4"/>
    <w:qFormat/>
    <w:uiPriority w:val="0"/>
    <w:pPr>
      <w:spacing w:after="100" w:afterAutospacing="1"/>
      <w:ind w:firstLine="420" w:firstLineChars="0"/>
      <w:jc w:val="left"/>
    </w:pPr>
    <w:rPr>
      <w:rFonts w:ascii="宋体" w:hAnsi="宋体" w:cs="Tahoma"/>
      <w:szCs w:val="15"/>
    </w:rPr>
  </w:style>
  <w:style w:type="paragraph" w:styleId="4">
    <w:name w:val="header"/>
    <w:basedOn w:val="1"/>
    <w:link w:val="35"/>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5">
    <w:name w:val="index 6"/>
    <w:next w:val="1"/>
    <w:qFormat/>
    <w:uiPriority w:val="0"/>
    <w:pPr>
      <w:widowControl w:val="0"/>
      <w:ind w:left="2100"/>
      <w:jc w:val="both"/>
    </w:pPr>
    <w:rPr>
      <w:rFonts w:ascii="Calibri" w:hAnsi="Calibri" w:eastAsia="宋体" w:cs="Times New Roman"/>
      <w:kern w:val="2"/>
      <w:sz w:val="21"/>
      <w:szCs w:val="22"/>
      <w:lang w:val="en-US" w:eastAsia="zh-CN" w:bidi="ar-SA"/>
    </w:rPr>
  </w:style>
  <w:style w:type="paragraph" w:styleId="9">
    <w:name w:val="toc 7"/>
    <w:basedOn w:val="1"/>
    <w:next w:val="1"/>
    <w:unhideWhenUsed/>
    <w:qFormat/>
    <w:uiPriority w:val="39"/>
    <w:pPr>
      <w:ind w:left="1920"/>
      <w:jc w:val="left"/>
    </w:pPr>
    <w:rPr>
      <w:rFonts w:asciiTheme="minorHAnsi" w:hAnsiTheme="minorHAnsi" w:cstheme="minorHAnsi"/>
      <w:sz w:val="18"/>
      <w:szCs w:val="18"/>
    </w:rPr>
  </w:style>
  <w:style w:type="paragraph" w:styleId="10">
    <w:name w:val="annotation text"/>
    <w:basedOn w:val="1"/>
    <w:link w:val="43"/>
    <w:semiHidden/>
    <w:unhideWhenUsed/>
    <w:qFormat/>
    <w:uiPriority w:val="99"/>
    <w:pPr>
      <w:jc w:val="left"/>
    </w:pPr>
  </w:style>
  <w:style w:type="paragraph" w:styleId="11">
    <w:name w:val="toc 5"/>
    <w:basedOn w:val="1"/>
    <w:next w:val="1"/>
    <w:unhideWhenUsed/>
    <w:qFormat/>
    <w:uiPriority w:val="39"/>
    <w:pPr>
      <w:ind w:left="1280"/>
      <w:jc w:val="left"/>
    </w:pPr>
    <w:rPr>
      <w:rFonts w:asciiTheme="minorHAnsi" w:hAnsiTheme="minorHAnsi" w:cstheme="minorHAnsi"/>
      <w:sz w:val="18"/>
      <w:szCs w:val="18"/>
    </w:rPr>
  </w:style>
  <w:style w:type="paragraph" w:styleId="12">
    <w:name w:val="toc 3"/>
    <w:basedOn w:val="1"/>
    <w:next w:val="1"/>
    <w:unhideWhenUsed/>
    <w:qFormat/>
    <w:uiPriority w:val="39"/>
    <w:pPr>
      <w:ind w:left="640"/>
      <w:jc w:val="left"/>
    </w:pPr>
    <w:rPr>
      <w:rFonts w:asciiTheme="minorHAnsi" w:hAnsiTheme="minorHAnsi" w:cstheme="minorHAnsi"/>
      <w:i/>
      <w:iCs/>
      <w:sz w:val="20"/>
      <w:szCs w:val="20"/>
    </w:rPr>
  </w:style>
  <w:style w:type="paragraph" w:styleId="13">
    <w:name w:val="toc 8"/>
    <w:basedOn w:val="1"/>
    <w:next w:val="1"/>
    <w:unhideWhenUsed/>
    <w:uiPriority w:val="39"/>
    <w:pPr>
      <w:ind w:left="2240"/>
      <w:jc w:val="left"/>
    </w:pPr>
    <w:rPr>
      <w:rFonts w:asciiTheme="minorHAnsi" w:hAnsiTheme="minorHAnsi" w:cstheme="minorHAnsi"/>
      <w:sz w:val="18"/>
      <w:szCs w:val="18"/>
    </w:rPr>
  </w:style>
  <w:style w:type="paragraph" w:styleId="14">
    <w:name w:val="Date"/>
    <w:basedOn w:val="1"/>
    <w:next w:val="1"/>
    <w:link w:val="39"/>
    <w:semiHidden/>
    <w:unhideWhenUsed/>
    <w:qFormat/>
    <w:uiPriority w:val="99"/>
    <w:pPr>
      <w:ind w:left="100" w:leftChars="2500"/>
    </w:pPr>
  </w:style>
  <w:style w:type="paragraph" w:styleId="15">
    <w:name w:val="Balloon Text"/>
    <w:basedOn w:val="1"/>
    <w:link w:val="45"/>
    <w:semiHidden/>
    <w:unhideWhenUsed/>
    <w:qFormat/>
    <w:uiPriority w:val="99"/>
    <w:pPr>
      <w:spacing w:line="240" w:lineRule="auto"/>
    </w:pPr>
    <w:rPr>
      <w:sz w:val="18"/>
      <w:szCs w:val="18"/>
    </w:rPr>
  </w:style>
  <w:style w:type="paragraph" w:styleId="16">
    <w:name w:val="footer"/>
    <w:basedOn w:val="1"/>
    <w:link w:val="36"/>
    <w:unhideWhenUsed/>
    <w:qFormat/>
    <w:uiPriority w:val="99"/>
    <w:pPr>
      <w:tabs>
        <w:tab w:val="center" w:pos="4153"/>
        <w:tab w:val="right" w:pos="8306"/>
      </w:tabs>
      <w:spacing w:line="240" w:lineRule="auto"/>
      <w:jc w:val="left"/>
    </w:pPr>
    <w:rPr>
      <w:sz w:val="18"/>
      <w:szCs w:val="18"/>
    </w:rPr>
  </w:style>
  <w:style w:type="paragraph" w:styleId="17">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8">
    <w:name w:val="toc 4"/>
    <w:basedOn w:val="1"/>
    <w:next w:val="1"/>
    <w:unhideWhenUsed/>
    <w:uiPriority w:val="39"/>
    <w:pPr>
      <w:ind w:left="960"/>
      <w:jc w:val="left"/>
    </w:pPr>
    <w:rPr>
      <w:rFonts w:asciiTheme="minorHAnsi" w:hAnsiTheme="minorHAnsi" w:cstheme="minorHAnsi"/>
      <w:sz w:val="18"/>
      <w:szCs w:val="18"/>
    </w:rPr>
  </w:style>
  <w:style w:type="paragraph" w:styleId="19">
    <w:name w:val="toc 6"/>
    <w:basedOn w:val="1"/>
    <w:next w:val="1"/>
    <w:unhideWhenUsed/>
    <w:qFormat/>
    <w:uiPriority w:val="39"/>
    <w:pPr>
      <w:ind w:left="1600"/>
      <w:jc w:val="left"/>
    </w:pPr>
    <w:rPr>
      <w:rFonts w:asciiTheme="minorHAnsi" w:hAnsiTheme="minorHAnsi" w:cstheme="minorHAnsi"/>
      <w:sz w:val="18"/>
      <w:szCs w:val="18"/>
    </w:rPr>
  </w:style>
  <w:style w:type="paragraph" w:styleId="20">
    <w:name w:val="toc 2"/>
    <w:basedOn w:val="1"/>
    <w:next w:val="1"/>
    <w:unhideWhenUsed/>
    <w:qFormat/>
    <w:uiPriority w:val="39"/>
    <w:pPr>
      <w:ind w:left="320"/>
      <w:jc w:val="left"/>
    </w:pPr>
    <w:rPr>
      <w:rFonts w:asciiTheme="minorHAnsi" w:hAnsiTheme="minorHAnsi" w:cstheme="minorHAnsi"/>
      <w:smallCaps/>
      <w:sz w:val="20"/>
      <w:szCs w:val="20"/>
    </w:rPr>
  </w:style>
  <w:style w:type="paragraph" w:styleId="21">
    <w:name w:val="toc 9"/>
    <w:basedOn w:val="1"/>
    <w:next w:val="1"/>
    <w:unhideWhenUsed/>
    <w:qFormat/>
    <w:uiPriority w:val="39"/>
    <w:pPr>
      <w:ind w:left="2560"/>
      <w:jc w:val="left"/>
    </w:pPr>
    <w:rPr>
      <w:rFonts w:asciiTheme="minorHAnsi" w:hAnsiTheme="minorHAnsi" w:cstheme="minorHAnsi"/>
      <w:sz w:val="18"/>
      <w:szCs w:val="18"/>
    </w:rPr>
  </w:style>
  <w:style w:type="paragraph" w:styleId="22">
    <w:name w:val="Normal (Web)"/>
    <w:basedOn w:val="1"/>
    <w:unhideWhenUsed/>
    <w:qFormat/>
    <w:uiPriority w:val="99"/>
    <w:pPr>
      <w:widowControl/>
      <w:adjustRightInd/>
      <w:snapToGrid/>
      <w:spacing w:before="100" w:beforeAutospacing="1" w:after="100" w:afterAutospacing="1" w:line="240" w:lineRule="auto"/>
      <w:jc w:val="left"/>
    </w:pPr>
    <w:rPr>
      <w:rFonts w:ascii="宋体" w:hAnsi="宋体" w:eastAsia="华文仿宋" w:cs="宋体"/>
      <w:kern w:val="0"/>
      <w:szCs w:val="24"/>
    </w:rPr>
  </w:style>
  <w:style w:type="paragraph" w:styleId="23">
    <w:name w:val="annotation subject"/>
    <w:basedOn w:val="10"/>
    <w:next w:val="10"/>
    <w:link w:val="44"/>
    <w:semiHidden/>
    <w:unhideWhenUsed/>
    <w:qFormat/>
    <w:uiPriority w:val="99"/>
    <w:rPr>
      <w:b/>
      <w:bCs/>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semiHidden/>
    <w:unhideWhenUsed/>
    <w:qFormat/>
    <w:uiPriority w:val="99"/>
    <w:rPr>
      <w:sz w:val="21"/>
      <w:szCs w:val="21"/>
    </w:rPr>
  </w:style>
  <w:style w:type="character" w:customStyle="1" w:styleId="30">
    <w:name w:val="标题 2 字符"/>
    <w:basedOn w:val="26"/>
    <w:link w:val="7"/>
    <w:qFormat/>
    <w:uiPriority w:val="9"/>
    <w:rPr>
      <w:rFonts w:asciiTheme="majorHAnsi" w:hAnsiTheme="majorHAnsi" w:eastAsiaTheme="majorEastAsia" w:cstheme="majorBidi"/>
      <w:b/>
      <w:bCs/>
      <w:sz w:val="32"/>
      <w:szCs w:val="32"/>
    </w:rPr>
  </w:style>
  <w:style w:type="character" w:customStyle="1" w:styleId="31">
    <w:name w:val="标题 3 字符"/>
    <w:basedOn w:val="26"/>
    <w:link w:val="8"/>
    <w:qFormat/>
    <w:uiPriority w:val="9"/>
    <w:rPr>
      <w:rFonts w:eastAsia="仿宋_GB2312"/>
      <w:b/>
      <w:bCs/>
      <w:kern w:val="2"/>
      <w:sz w:val="32"/>
      <w:szCs w:val="32"/>
    </w:rPr>
  </w:style>
  <w:style w:type="paragraph" w:styleId="32">
    <w:name w:val="List Paragraph"/>
    <w:basedOn w:val="1"/>
    <w:qFormat/>
    <w:uiPriority w:val="34"/>
    <w:pPr>
      <w:ind w:firstLine="420"/>
    </w:pPr>
  </w:style>
  <w:style w:type="paragraph" w:customStyle="1" w:styleId="33">
    <w:name w:val="SH正文"/>
    <w:basedOn w:val="1"/>
    <w:link w:val="34"/>
    <w:qFormat/>
    <w:uiPriority w:val="0"/>
    <w:rPr>
      <w:rFonts w:eastAsia="华文仿宋"/>
      <w:kern w:val="0"/>
      <w:szCs w:val="24"/>
    </w:rPr>
  </w:style>
  <w:style w:type="character" w:customStyle="1" w:styleId="34">
    <w:name w:val="SH正文 Char"/>
    <w:link w:val="33"/>
    <w:qFormat/>
    <w:uiPriority w:val="0"/>
    <w:rPr>
      <w:rFonts w:ascii="Times New Roman" w:hAnsi="Times New Roman" w:eastAsia="华文仿宋" w:cs="Times New Roman"/>
      <w:kern w:val="0"/>
      <w:sz w:val="30"/>
      <w:szCs w:val="24"/>
    </w:rPr>
  </w:style>
  <w:style w:type="character" w:customStyle="1" w:styleId="35">
    <w:name w:val="页眉 字符"/>
    <w:basedOn w:val="26"/>
    <w:link w:val="4"/>
    <w:qFormat/>
    <w:uiPriority w:val="99"/>
    <w:rPr>
      <w:rFonts w:ascii="Times New Roman" w:hAnsi="Times New Roman" w:eastAsia="仿宋_GB2312" w:cs="Times New Roman"/>
      <w:sz w:val="18"/>
      <w:szCs w:val="18"/>
    </w:rPr>
  </w:style>
  <w:style w:type="character" w:customStyle="1" w:styleId="36">
    <w:name w:val="页脚 字符"/>
    <w:basedOn w:val="26"/>
    <w:link w:val="16"/>
    <w:qFormat/>
    <w:uiPriority w:val="99"/>
    <w:rPr>
      <w:rFonts w:ascii="Times New Roman" w:hAnsi="Times New Roman" w:eastAsia="仿宋_GB2312" w:cs="Times New Roman"/>
      <w:sz w:val="18"/>
      <w:szCs w:val="18"/>
    </w:rPr>
  </w:style>
  <w:style w:type="paragraph" w:customStyle="1" w:styleId="37">
    <w:name w:val="标题  1"/>
    <w:basedOn w:val="6"/>
    <w:qFormat/>
    <w:uiPriority w:val="0"/>
    <w:pPr>
      <w:spacing w:before="156" w:afterLines="50" w:line="360" w:lineRule="auto"/>
      <w:ind w:firstLine="0" w:firstLineChars="0"/>
    </w:pPr>
    <w:rPr>
      <w:rFonts w:eastAsia="黑体"/>
      <w:bCs w:val="0"/>
      <w:spacing w:val="-4"/>
      <w:sz w:val="36"/>
      <w:szCs w:val="36"/>
    </w:rPr>
  </w:style>
  <w:style w:type="paragraph" w:customStyle="1" w:styleId="38">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39">
    <w:name w:val="日期 字符"/>
    <w:basedOn w:val="26"/>
    <w:link w:val="14"/>
    <w:semiHidden/>
    <w:qFormat/>
    <w:uiPriority w:val="99"/>
    <w:rPr>
      <w:rFonts w:eastAsia="仿宋_GB2312"/>
      <w:kern w:val="2"/>
      <w:sz w:val="28"/>
      <w:szCs w:val="28"/>
    </w:rPr>
  </w:style>
  <w:style w:type="character" w:customStyle="1" w:styleId="40">
    <w:name w:val="fontstyle01"/>
    <w:basedOn w:val="26"/>
    <w:qFormat/>
    <w:uiPriority w:val="0"/>
    <w:rPr>
      <w:rFonts w:hint="eastAsia" w:ascii="黑体" w:hAnsi="黑体" w:eastAsia="黑体"/>
      <w:color w:val="000000"/>
      <w:sz w:val="32"/>
      <w:szCs w:val="32"/>
    </w:rPr>
  </w:style>
  <w:style w:type="character" w:customStyle="1" w:styleId="41">
    <w:name w:val="fontstyle21"/>
    <w:basedOn w:val="26"/>
    <w:qFormat/>
    <w:uiPriority w:val="0"/>
    <w:rPr>
      <w:rFonts w:hint="eastAsia" w:ascii="仿宋_GB2312" w:eastAsia="仿宋_GB2312"/>
      <w:color w:val="000000"/>
      <w:sz w:val="32"/>
      <w:szCs w:val="32"/>
    </w:rPr>
  </w:style>
  <w:style w:type="paragraph" w:customStyle="1" w:styleId="42">
    <w:name w:val="c3"/>
    <w:qFormat/>
    <w:uiPriority w:val="0"/>
    <w:pPr>
      <w:snapToGrid w:val="0"/>
      <w:jc w:val="center"/>
    </w:pPr>
    <w:rPr>
      <w:rFonts w:ascii="仿宋_GB2312" w:hAnsi="Times New Roman" w:eastAsia="仿宋_GB2312" w:cs="宋体"/>
      <w:sz w:val="24"/>
      <w:szCs w:val="24"/>
      <w:lang w:val="en-US" w:eastAsia="zh-CN" w:bidi="ar-SA"/>
    </w:rPr>
  </w:style>
  <w:style w:type="character" w:customStyle="1" w:styleId="43">
    <w:name w:val="批注文字 字符"/>
    <w:basedOn w:val="26"/>
    <w:link w:val="10"/>
    <w:semiHidden/>
    <w:qFormat/>
    <w:uiPriority w:val="99"/>
    <w:rPr>
      <w:rFonts w:eastAsia="仿宋_GB2312"/>
      <w:kern w:val="2"/>
      <w:sz w:val="28"/>
      <w:szCs w:val="28"/>
    </w:rPr>
  </w:style>
  <w:style w:type="character" w:customStyle="1" w:styleId="44">
    <w:name w:val="批注主题 字符"/>
    <w:basedOn w:val="43"/>
    <w:link w:val="23"/>
    <w:semiHidden/>
    <w:qFormat/>
    <w:uiPriority w:val="99"/>
    <w:rPr>
      <w:rFonts w:eastAsia="仿宋_GB2312"/>
      <w:b/>
      <w:bCs/>
      <w:kern w:val="2"/>
      <w:sz w:val="28"/>
      <w:szCs w:val="28"/>
    </w:rPr>
  </w:style>
  <w:style w:type="character" w:customStyle="1" w:styleId="45">
    <w:name w:val="批注框文本 字符"/>
    <w:basedOn w:val="26"/>
    <w:link w:val="15"/>
    <w:semiHidden/>
    <w:qFormat/>
    <w:uiPriority w:val="99"/>
    <w:rPr>
      <w:rFonts w:eastAsia="仿宋_GB2312"/>
      <w:kern w:val="2"/>
      <w:sz w:val="18"/>
      <w:szCs w:val="18"/>
    </w:rPr>
  </w:style>
  <w:style w:type="character" w:customStyle="1" w:styleId="46">
    <w:name w:val="NormalCharacter"/>
    <w:qFormat/>
    <w:uiPriority w:val="0"/>
    <w:rPr>
      <w:rFonts w:ascii="Times New Roman" w:hAnsi="Times New Roman" w:eastAsia="仿宋_GB2312"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68</Pages>
  <Words>699</Words>
  <Characters>735</Characters>
  <Lines>270</Lines>
  <Paragraphs>76</Paragraphs>
  <TotalTime>0</TotalTime>
  <ScaleCrop>false</ScaleCrop>
  <LinksUpToDate>false</LinksUpToDate>
  <CharactersWithSpaces>777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2022-05-24T01:21:00Z</dcterms:created>
  <dc:creator>微软用户</dc:creator>
  <cp:lastModifiedBy>Administrator</cp:lastModifiedBy>
  <cp:lastPrinted>2022-05-24T01:28:00Z</cp:lastPrinted>
  <dcterms:modified xsi:type="dcterms:W3CDTF">2025-01-16T09:05:09Z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678F6D8B22BC46C6B90C61BF0BAC7CF6</vt:lpwstr>
  </property>
  <property fmtid="{D5CDD505-2E9C-101B-9397-08002B2CF9AE}" pid="4" name="KSOTemplateDocerSaveRecord">
    <vt:lpwstr>eyJoZGlkIjoiYWJlYTYwODFiMTNlMmRhYzgwYzkzNTdhMWU0NjhiYTEifQ==</vt:lpwstr>
  </property>
</Properties>
</file>